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84772" w14:textId="5FE5F9B9" w:rsidR="00FD444D" w:rsidRPr="00FD444D" w:rsidRDefault="00FD444D" w:rsidP="00FD444D">
      <w:pPr>
        <w:rPr>
          <w:i/>
          <w:lang w:val="fi-FI"/>
        </w:rPr>
      </w:pPr>
      <w:r w:rsidRPr="00FD444D">
        <w:rPr>
          <w:i/>
          <w:lang w:val="fi-FI"/>
        </w:rPr>
        <w:t xml:space="preserve">Työryhmä: Jari Petäjä, Markku Kuisma, Jarja Ijäs, Petja Orre, Pia Kurimo, Kirsi Laasila, </w:t>
      </w:r>
      <w:r>
        <w:rPr>
          <w:i/>
          <w:lang w:val="fi-FI"/>
        </w:rPr>
        <w:br/>
      </w:r>
      <w:r w:rsidRPr="00FD444D">
        <w:rPr>
          <w:i/>
          <w:lang w:val="fi-FI"/>
        </w:rPr>
        <w:t>Eeva Ruotsalainen, Riitta Lassila</w:t>
      </w:r>
      <w:r w:rsidR="00326B95">
        <w:rPr>
          <w:i/>
          <w:lang w:val="fi-FI"/>
        </w:rPr>
        <w:t xml:space="preserve"> </w:t>
      </w:r>
      <w:r w:rsidR="008562C8">
        <w:rPr>
          <w:i/>
          <w:lang w:val="fi-FI"/>
        </w:rPr>
        <w:t>11</w:t>
      </w:r>
      <w:r w:rsidR="00326B95">
        <w:rPr>
          <w:i/>
          <w:lang w:val="fi-FI"/>
        </w:rPr>
        <w:t>.5.2020</w:t>
      </w:r>
    </w:p>
    <w:p w14:paraId="2F0993E4" w14:textId="77777777" w:rsidR="00FD444D" w:rsidRPr="00FD444D" w:rsidRDefault="00326B95" w:rsidP="00FD444D">
      <w:pPr>
        <w:rPr>
          <w:rFonts w:asciiTheme="majorHAnsi" w:hAnsiTheme="majorHAnsi"/>
          <w:b/>
          <w:color w:val="00ADB1" w:themeColor="accent1"/>
          <w:sz w:val="36"/>
          <w:szCs w:val="36"/>
          <w:lang w:val="fi-FI"/>
        </w:rPr>
      </w:pPr>
      <w:r>
        <w:rPr>
          <w:rFonts w:asciiTheme="majorHAnsi" w:hAnsiTheme="majorHAnsi"/>
          <w:b/>
          <w:color w:val="00ADB1" w:themeColor="accent1"/>
          <w:sz w:val="36"/>
          <w:szCs w:val="36"/>
          <w:lang w:val="fi-FI"/>
        </w:rPr>
        <w:br/>
      </w:r>
      <w:r w:rsidR="00FD444D" w:rsidRPr="00FD444D">
        <w:rPr>
          <w:rFonts w:asciiTheme="majorHAnsi" w:hAnsiTheme="majorHAnsi"/>
          <w:b/>
          <w:color w:val="00ADB1" w:themeColor="accent1"/>
          <w:sz w:val="36"/>
          <w:szCs w:val="36"/>
          <w:lang w:val="fi-FI"/>
        </w:rPr>
        <w:t>Kotihoidossa olevan potilaan veritulppariskit</w:t>
      </w:r>
    </w:p>
    <w:p w14:paraId="21A4FEE4" w14:textId="157844C6" w:rsidR="00FD444D" w:rsidRPr="00126081" w:rsidRDefault="00FD444D" w:rsidP="00FD444D">
      <w:pPr>
        <w:rPr>
          <w:bCs/>
          <w:i/>
          <w:color w:val="C00000"/>
          <w:sz w:val="24"/>
          <w:szCs w:val="24"/>
          <w:lang w:val="fi-FI"/>
        </w:rPr>
      </w:pPr>
      <w:r w:rsidRPr="00126081">
        <w:rPr>
          <w:rFonts w:asciiTheme="majorHAnsi" w:hAnsiTheme="majorHAnsi"/>
          <w:b/>
          <w:bCs/>
          <w:sz w:val="24"/>
          <w:szCs w:val="24"/>
          <w:lang w:val="fi-FI"/>
        </w:rPr>
        <w:t>TAUSTATIETOA</w:t>
      </w:r>
      <w:r w:rsidRPr="00126081">
        <w:rPr>
          <w:b/>
          <w:bCs/>
          <w:sz w:val="24"/>
          <w:szCs w:val="24"/>
          <w:lang w:val="fi-FI"/>
        </w:rPr>
        <w:t xml:space="preserve"> (ks. </w:t>
      </w:r>
      <w:hyperlink r:id="rId8" w:history="1">
        <w:r w:rsidRPr="00C20B13">
          <w:rPr>
            <w:rStyle w:val="Hyperlinkki"/>
            <w:b/>
            <w:bCs/>
            <w:sz w:val="24"/>
            <w:szCs w:val="24"/>
          </w:rPr>
          <w:t xml:space="preserve">COVID-19 ja hyytyminen </w:t>
        </w:r>
        <w:r w:rsidRPr="00C20B13">
          <w:rPr>
            <w:rStyle w:val="Hyperlinkki"/>
            <w:b/>
            <w:bCs/>
            <w:sz w:val="24"/>
            <w:szCs w:val="24"/>
            <w:lang w:val="fi-FI"/>
          </w:rPr>
          <w:t>-</w:t>
        </w:r>
        <w:r w:rsidRPr="00C20B13">
          <w:rPr>
            <w:rStyle w:val="Hyperlinkki"/>
            <w:b/>
            <w:bCs/>
            <w:sz w:val="24"/>
            <w:szCs w:val="24"/>
          </w:rPr>
          <w:t>suositus HUS</w:t>
        </w:r>
        <w:r w:rsidR="00126081" w:rsidRPr="00C20B13">
          <w:rPr>
            <w:rStyle w:val="Hyperlinkki"/>
            <w:b/>
            <w:bCs/>
            <w:sz w:val="24"/>
            <w:szCs w:val="24"/>
            <w:lang w:val="fi-FI"/>
          </w:rPr>
          <w:t>)</w:t>
        </w:r>
      </w:hyperlink>
      <w:bookmarkStart w:id="0" w:name="_GoBack"/>
      <w:bookmarkEnd w:id="0"/>
      <w:r w:rsidR="00E8621D" w:rsidRPr="00126081">
        <w:rPr>
          <w:rStyle w:val="Hyperlinkki"/>
          <w:bCs/>
          <w:color w:val="auto"/>
          <w:sz w:val="24"/>
          <w:szCs w:val="24"/>
          <w:u w:val="none"/>
          <w:lang w:val="fi-FI"/>
        </w:rPr>
        <w:t xml:space="preserve"> </w:t>
      </w:r>
    </w:p>
    <w:p w14:paraId="51D33F0D" w14:textId="77777777" w:rsidR="00FD444D" w:rsidRPr="00874AE1" w:rsidRDefault="00FD444D" w:rsidP="008562C8">
      <w:pPr>
        <w:jc w:val="both"/>
        <w:rPr>
          <w:lang w:val="fi-FI"/>
        </w:rPr>
      </w:pPr>
      <w:r w:rsidRPr="00874AE1">
        <w:rPr>
          <w:lang w:val="fi-FI"/>
        </w:rPr>
        <w:t xml:space="preserve">COVIDin komplikaatioita saavien potilaiden ja veritulpan riskiryhmät ovat samoja: sydän- ja verisuonisairaus, obesiteetti, diabetes, COPD ja syöpäsairaus. Tämä viittaa siihen, että veren hyytymishäiriöt liittyvät COVIDin etenemiseen. Useamman riskisairauden yhdistelmä on erityisen tukosaltis. </w:t>
      </w:r>
    </w:p>
    <w:p w14:paraId="3026C7D7" w14:textId="77777777" w:rsidR="00FD444D" w:rsidRPr="00874AE1" w:rsidRDefault="00FD444D" w:rsidP="008562C8">
      <w:pPr>
        <w:pStyle w:val="Luettelokappale"/>
        <w:numPr>
          <w:ilvl w:val="0"/>
          <w:numId w:val="41"/>
        </w:numPr>
        <w:jc w:val="both"/>
        <w:rPr>
          <w:lang w:val="fi-FI"/>
        </w:rPr>
      </w:pPr>
      <w:r w:rsidRPr="00874AE1">
        <w:rPr>
          <w:lang w:val="fi-FI"/>
        </w:rPr>
        <w:t xml:space="preserve">Sydän- ja verisuonitautien hoidossa käytetään pääasiassa pysyvää                                                         </w:t>
      </w:r>
    </w:p>
    <w:p w14:paraId="5ACD4F15" w14:textId="4393245F" w:rsidR="00FD444D" w:rsidRPr="00874AE1" w:rsidRDefault="008562C8" w:rsidP="008562C8">
      <w:pPr>
        <w:pStyle w:val="Luettelokappale"/>
        <w:numPr>
          <w:ilvl w:val="1"/>
          <w:numId w:val="41"/>
        </w:numPr>
        <w:jc w:val="both"/>
        <w:rPr>
          <w:lang w:val="fi-FI"/>
        </w:rPr>
      </w:pPr>
      <w:r>
        <w:rPr>
          <w:b/>
          <w:bCs/>
          <w:lang w:val="fi-FI"/>
        </w:rPr>
        <w:t>T</w:t>
      </w:r>
      <w:r w:rsidR="00FD444D" w:rsidRPr="00874AE1">
        <w:rPr>
          <w:b/>
          <w:bCs/>
          <w:lang w:val="fi-FI"/>
        </w:rPr>
        <w:t>rombosyyttiestolääkitystä</w:t>
      </w:r>
      <w:r w:rsidR="00FD444D" w:rsidRPr="00874AE1">
        <w:rPr>
          <w:lang w:val="fi-FI"/>
        </w:rPr>
        <w:t xml:space="preserve"> (asetyylisalisyylihappo, klopidogreeli, dipyridamoli ja/tai prasugreeli, tikagrelori), kun indikaationa on sairastettu sydän-, tai aivoinfarkti tai perifeerinen valtimotukos ja/tai valtimoihin kohdistuneita toimenpiteitä, esim. pallolaajennus, ohitusleikkaus, tai </w:t>
      </w:r>
    </w:p>
    <w:p w14:paraId="115FB984" w14:textId="7CA109FA" w:rsidR="00FD444D" w:rsidRPr="00874AE1" w:rsidRDefault="008562C8" w:rsidP="008562C8">
      <w:pPr>
        <w:pStyle w:val="Luettelokappale"/>
        <w:numPr>
          <w:ilvl w:val="1"/>
          <w:numId w:val="41"/>
        </w:numPr>
        <w:jc w:val="both"/>
        <w:rPr>
          <w:lang w:val="fi-FI"/>
        </w:rPr>
      </w:pPr>
      <w:r>
        <w:rPr>
          <w:b/>
          <w:bCs/>
          <w:lang w:val="fi-FI"/>
        </w:rPr>
        <w:t>A</w:t>
      </w:r>
      <w:r w:rsidR="00FD444D" w:rsidRPr="00874AE1">
        <w:rPr>
          <w:b/>
          <w:bCs/>
          <w:lang w:val="fi-FI"/>
        </w:rPr>
        <w:t>ntikoagulaatiohoitoa</w:t>
      </w:r>
      <w:r w:rsidR="00FD444D" w:rsidRPr="00874AE1">
        <w:rPr>
          <w:lang w:val="fi-FI"/>
        </w:rPr>
        <w:t xml:space="preserve">, (dabigatraani, apiksabaani, edoksabaani, rivaroksabaani, varfariini) indikaatioina eteisvärinä, sydämen mekaaninen tekoläppä tai sairastettu laskimo- tai keuhkoveritulppa. </w:t>
      </w:r>
    </w:p>
    <w:p w14:paraId="205CAB1C" w14:textId="77777777" w:rsidR="00FD444D" w:rsidRPr="00874AE1" w:rsidRDefault="00FD444D" w:rsidP="008562C8">
      <w:pPr>
        <w:pStyle w:val="Luettelokappale"/>
        <w:numPr>
          <w:ilvl w:val="1"/>
          <w:numId w:val="41"/>
        </w:numPr>
        <w:jc w:val="both"/>
        <w:rPr>
          <w:lang w:val="fi-FI"/>
        </w:rPr>
      </w:pPr>
      <w:r w:rsidRPr="00874AE1">
        <w:rPr>
          <w:lang w:val="fi-FI"/>
        </w:rPr>
        <w:t>Näiden lääkitysten tulee jatkua, ellei ilmene uusia vasta-aiheita. Niistä tavallisimpia ovat kliinisesti merkittävä verenvuoto, vaikea anemia, trombosytopenia, huonossa hoidossa oleva hypertensio ja vaikeutuva munuaisten tai maksan vajaatoiminta.</w:t>
      </w:r>
    </w:p>
    <w:p w14:paraId="1E1D26D1" w14:textId="77777777" w:rsidR="00FD444D" w:rsidRPr="00B35E4D" w:rsidRDefault="00FD444D" w:rsidP="008562C8">
      <w:pPr>
        <w:pStyle w:val="Luettelokappale"/>
        <w:numPr>
          <w:ilvl w:val="0"/>
          <w:numId w:val="41"/>
        </w:numPr>
        <w:jc w:val="both"/>
        <w:rPr>
          <w:lang w:val="fi-FI"/>
        </w:rPr>
      </w:pPr>
      <w:r w:rsidRPr="00B35E4D">
        <w:rPr>
          <w:lang w:val="fi-FI"/>
        </w:rPr>
        <w:t>Syvän laskimotukoksen tai keuhkoembolian aiemmin sairastanut potilas, jolla ei ole pysyvää tai pitkäkestoista antikoagulaatiohoitoa, on riskipotilas</w:t>
      </w:r>
      <w:r w:rsidR="00326B95">
        <w:rPr>
          <w:lang w:val="fi-FI"/>
        </w:rPr>
        <w:t xml:space="preserve">. </w:t>
      </w:r>
      <w:hyperlink r:id="rId9" w:history="1">
        <w:r w:rsidR="00326B95" w:rsidRPr="00326B95">
          <w:rPr>
            <w:rStyle w:val="Hyperlinkki"/>
            <w:lang w:val="fi-FI"/>
          </w:rPr>
          <w:t>Lue lisää tästä.</w:t>
        </w:r>
      </w:hyperlink>
      <w:r w:rsidRPr="00B35E4D">
        <w:rPr>
          <w:lang w:val="fi-FI"/>
        </w:rPr>
        <w:t xml:space="preserve"> </w:t>
      </w:r>
    </w:p>
    <w:p w14:paraId="5F66EB01" w14:textId="77777777" w:rsidR="00FD444D" w:rsidRPr="00874AE1" w:rsidRDefault="00FD444D" w:rsidP="008562C8">
      <w:pPr>
        <w:pStyle w:val="Luettelokappale"/>
        <w:numPr>
          <w:ilvl w:val="0"/>
          <w:numId w:val="40"/>
        </w:numPr>
        <w:rPr>
          <w:rFonts w:cstheme="minorHAnsi"/>
        </w:rPr>
      </w:pPr>
      <w:r w:rsidRPr="00874AE1">
        <w:rPr>
          <w:rFonts w:cstheme="minorHAnsi"/>
          <w:lang w:val="fi-FI"/>
        </w:rPr>
        <w:t xml:space="preserve">Lue: </w:t>
      </w:r>
      <w:hyperlink r:id="rId10" w:history="1">
        <w:r w:rsidRPr="00874AE1">
          <w:rPr>
            <w:rStyle w:val="Hyperlinkki"/>
            <w:rFonts w:cstheme="minorHAnsi"/>
          </w:rPr>
          <w:t>Tietoa potilaalle ja hoitohenkilökunnalle – taipumus saada veritulppa</w:t>
        </w:r>
      </w:hyperlink>
      <w:r w:rsidRPr="00874AE1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br/>
      </w:r>
    </w:p>
    <w:p w14:paraId="0A525F5B" w14:textId="77777777" w:rsidR="00FD444D" w:rsidRPr="00FD444D" w:rsidRDefault="00FD444D" w:rsidP="008562C8">
      <w:pPr>
        <w:pStyle w:val="Otsikko3numeroimaton"/>
        <w:jc w:val="both"/>
        <w:rPr>
          <w:sz w:val="24"/>
          <w:szCs w:val="24"/>
        </w:rPr>
      </w:pPr>
      <w:r w:rsidRPr="00FD444D">
        <w:rPr>
          <w:sz w:val="24"/>
          <w:szCs w:val="24"/>
        </w:rPr>
        <w:t>PRIMAARISTI KOTONA HOIDETTAVA POTILAS</w:t>
      </w:r>
    </w:p>
    <w:p w14:paraId="1520DF4F" w14:textId="77777777" w:rsidR="00FD444D" w:rsidRPr="00874AE1" w:rsidRDefault="00FD444D" w:rsidP="008562C8">
      <w:pPr>
        <w:pStyle w:val="Luettelokappale"/>
        <w:numPr>
          <w:ilvl w:val="0"/>
          <w:numId w:val="42"/>
        </w:numPr>
        <w:jc w:val="both"/>
        <w:rPr>
          <w:rFonts w:cstheme="minorHAnsi"/>
        </w:rPr>
      </w:pPr>
      <w:r w:rsidRPr="00874AE1">
        <w:rPr>
          <w:rFonts w:cstheme="minorHAnsi"/>
          <w:lang w:val="fi-FI"/>
        </w:rPr>
        <w:t xml:space="preserve">Kunnan tartuntataudeista vastaava lääkäri tai hoitaja informoidessaan potilasta positiivisesta koronatestistä tartunnanjäljityksen yhteydessä tekee samalla arvion laskimoveritulpan riskistä </w:t>
      </w:r>
      <w:r w:rsidRPr="00874AE1">
        <w:rPr>
          <w:b/>
        </w:rPr>
        <w:t xml:space="preserve">tai </w:t>
      </w:r>
      <w:r w:rsidRPr="00874AE1">
        <w:t>siirtää riskinarvion potilaan hoitavalle lääkärille paikallisesti sovitun käytännön mukaan</w:t>
      </w:r>
      <w:r w:rsidRPr="00874AE1">
        <w:rPr>
          <w:lang w:val="fi-FI"/>
        </w:rPr>
        <w:t xml:space="preserve"> 1-2 vrk sisälle</w:t>
      </w:r>
      <w:r w:rsidRPr="00874AE1">
        <w:t>.</w:t>
      </w:r>
    </w:p>
    <w:p w14:paraId="2923847C" w14:textId="77777777" w:rsidR="00FD444D" w:rsidRPr="00874AE1" w:rsidRDefault="00FD444D" w:rsidP="008562C8">
      <w:pPr>
        <w:pStyle w:val="Luettelokappale"/>
        <w:numPr>
          <w:ilvl w:val="0"/>
          <w:numId w:val="42"/>
        </w:numPr>
        <w:jc w:val="both"/>
        <w:rPr>
          <w:rFonts w:cstheme="minorHAnsi"/>
        </w:rPr>
      </w:pPr>
      <w:r w:rsidRPr="00874AE1">
        <w:rPr>
          <w:rFonts w:cstheme="minorHAnsi"/>
          <w:lang w:val="fi-FI"/>
        </w:rPr>
        <w:t>Kaikkia potilaita in</w:t>
      </w:r>
      <w:r w:rsidRPr="00874AE1">
        <w:rPr>
          <w:rFonts w:cstheme="minorHAnsi"/>
        </w:rPr>
        <w:t>formoida</w:t>
      </w:r>
      <w:r w:rsidRPr="00874AE1">
        <w:rPr>
          <w:rFonts w:cstheme="minorHAnsi"/>
          <w:lang w:val="fi-FI"/>
        </w:rPr>
        <w:t>an</w:t>
      </w:r>
      <w:r w:rsidRPr="00874AE1">
        <w:rPr>
          <w:rFonts w:cstheme="minorHAnsi"/>
        </w:rPr>
        <w:t xml:space="preserve"> </w:t>
      </w:r>
      <w:r w:rsidRPr="00874AE1">
        <w:rPr>
          <w:rFonts w:cstheme="minorHAnsi"/>
          <w:lang w:val="fi-FI"/>
        </w:rPr>
        <w:t xml:space="preserve">veritulpan </w:t>
      </w:r>
      <w:r w:rsidRPr="00874AE1">
        <w:rPr>
          <w:rFonts w:cstheme="minorHAnsi"/>
        </w:rPr>
        <w:t>alttiudesta</w:t>
      </w:r>
      <w:r w:rsidRPr="00874AE1">
        <w:rPr>
          <w:rFonts w:cstheme="minorHAnsi"/>
          <w:lang w:val="fi-FI"/>
        </w:rPr>
        <w:t xml:space="preserve"> seuraavissa tiloissa: </w:t>
      </w:r>
    </w:p>
    <w:p w14:paraId="529E5805" w14:textId="77777777" w:rsidR="00FD444D" w:rsidRPr="00874AE1" w:rsidRDefault="00FD444D" w:rsidP="008562C8">
      <w:pPr>
        <w:pStyle w:val="Luettelokappale"/>
        <w:numPr>
          <w:ilvl w:val="2"/>
          <w:numId w:val="42"/>
        </w:numPr>
        <w:jc w:val="both"/>
        <w:rPr>
          <w:rFonts w:cstheme="minorHAnsi"/>
        </w:rPr>
      </w:pPr>
      <w:r w:rsidRPr="00874AE1">
        <w:rPr>
          <w:rFonts w:cstheme="minorHAnsi"/>
        </w:rPr>
        <w:t>dehydraatio</w:t>
      </w:r>
      <w:r w:rsidRPr="00874AE1">
        <w:rPr>
          <w:rFonts w:cstheme="minorHAnsi"/>
          <w:lang w:val="fi-FI"/>
        </w:rPr>
        <w:t>, korkea kuume tai pahoinvointi/ripuli</w:t>
      </w:r>
    </w:p>
    <w:p w14:paraId="1FA3A2E4" w14:textId="77777777" w:rsidR="00FD444D" w:rsidRPr="00874AE1" w:rsidRDefault="00FD444D" w:rsidP="008562C8">
      <w:pPr>
        <w:pStyle w:val="Luettelokappale"/>
        <w:numPr>
          <w:ilvl w:val="2"/>
          <w:numId w:val="42"/>
        </w:numPr>
        <w:jc w:val="both"/>
        <w:rPr>
          <w:rFonts w:cstheme="minorHAnsi"/>
        </w:rPr>
      </w:pPr>
      <w:r w:rsidRPr="00874AE1">
        <w:rPr>
          <w:rFonts w:cstheme="minorHAnsi"/>
        </w:rPr>
        <w:t>immobilisaatio</w:t>
      </w:r>
      <w:r w:rsidRPr="00874AE1">
        <w:rPr>
          <w:rFonts w:cstheme="minorHAnsi"/>
          <w:lang w:val="fi-FI"/>
        </w:rPr>
        <w:t xml:space="preserve"> (yli 3 vrk) </w:t>
      </w:r>
    </w:p>
    <w:p w14:paraId="63ACCDF5" w14:textId="5328AD4A" w:rsidR="00FD444D" w:rsidRPr="00874AE1" w:rsidRDefault="00FD444D" w:rsidP="008562C8">
      <w:pPr>
        <w:pStyle w:val="Luettelokappale"/>
        <w:numPr>
          <w:ilvl w:val="2"/>
          <w:numId w:val="42"/>
        </w:numPr>
        <w:jc w:val="both"/>
        <w:rPr>
          <w:rFonts w:cstheme="minorHAnsi"/>
        </w:rPr>
      </w:pPr>
      <w:r w:rsidRPr="00874AE1">
        <w:rPr>
          <w:rFonts w:cstheme="minorHAnsi"/>
          <w:lang w:val="fi-FI"/>
        </w:rPr>
        <w:t xml:space="preserve">lisäksi tulee tunnistaa </w:t>
      </w:r>
      <w:r w:rsidRPr="00874AE1">
        <w:rPr>
          <w:rFonts w:cstheme="minorHAnsi"/>
        </w:rPr>
        <w:t xml:space="preserve">mahdolliset </w:t>
      </w:r>
      <w:r w:rsidRPr="00874AE1">
        <w:rPr>
          <w:rFonts w:cstheme="minorHAnsi"/>
          <w:lang w:val="fi-FI"/>
        </w:rPr>
        <w:t>veritulppa</w:t>
      </w:r>
      <w:r w:rsidRPr="00874AE1">
        <w:rPr>
          <w:rFonts w:cstheme="minorHAnsi"/>
        </w:rPr>
        <w:t>oireet</w:t>
      </w:r>
      <w:r w:rsidRPr="00874AE1">
        <w:rPr>
          <w:rFonts w:cstheme="minorHAnsi"/>
          <w:lang w:val="fi-FI"/>
        </w:rPr>
        <w:t xml:space="preserve">, kuten </w:t>
      </w:r>
      <w:r w:rsidRPr="00874AE1">
        <w:rPr>
          <w:rFonts w:cstheme="minorHAnsi"/>
        </w:rPr>
        <w:t>alaraaja- ja rintakipu</w:t>
      </w:r>
      <w:r w:rsidRPr="00874AE1">
        <w:rPr>
          <w:rFonts w:cstheme="minorHAnsi"/>
          <w:lang w:val="fi-FI"/>
        </w:rPr>
        <w:t xml:space="preserve"> tai </w:t>
      </w:r>
      <w:r w:rsidRPr="00874AE1">
        <w:rPr>
          <w:rFonts w:cstheme="minorHAnsi"/>
        </w:rPr>
        <w:t>muut oireet</w:t>
      </w:r>
      <w:r w:rsidR="009B2E6E">
        <w:rPr>
          <w:rFonts w:cstheme="minorHAnsi"/>
          <w:lang w:val="fi-FI"/>
        </w:rPr>
        <w:t>.</w:t>
      </w:r>
      <w:r w:rsidRPr="00874AE1">
        <w:rPr>
          <w:rFonts w:cstheme="minorHAnsi"/>
        </w:rPr>
        <w:t xml:space="preserve"> </w:t>
      </w:r>
    </w:p>
    <w:p w14:paraId="776614A1" w14:textId="77777777" w:rsidR="00FD444D" w:rsidRPr="00874AE1" w:rsidRDefault="00FD444D" w:rsidP="008562C8">
      <w:pPr>
        <w:pStyle w:val="Luettelokappale"/>
        <w:numPr>
          <w:ilvl w:val="0"/>
          <w:numId w:val="42"/>
        </w:numPr>
        <w:jc w:val="both"/>
        <w:rPr>
          <w:rFonts w:cstheme="minorHAnsi"/>
        </w:rPr>
      </w:pPr>
      <w:r w:rsidRPr="00874AE1">
        <w:rPr>
          <w:rFonts w:cstheme="minorHAnsi"/>
          <w:lang w:val="fi-FI"/>
        </w:rPr>
        <w:t>Kaikille a</w:t>
      </w:r>
      <w:r w:rsidRPr="00874AE1">
        <w:rPr>
          <w:rFonts w:cstheme="minorHAnsi"/>
        </w:rPr>
        <w:t>nnetaan yhteystiedot</w:t>
      </w:r>
      <w:r w:rsidRPr="00874AE1">
        <w:rPr>
          <w:rFonts w:cstheme="minorHAnsi"/>
          <w:lang w:val="fi-FI"/>
        </w:rPr>
        <w:t>, mihin soittaa tarvittaessa arviota COVID-oireiden tai perustaudin pahentuessa (</w:t>
      </w:r>
      <w:r w:rsidRPr="00874AE1">
        <w:rPr>
          <w:lang w:val="fi-FI"/>
        </w:rPr>
        <w:t xml:space="preserve">Covid-19 taudinkuva voi vaikeutua noin viikon kuluttua oireiden alusta, ja muuttua kriittiseksi muutamien tuntien kuluessa). </w:t>
      </w:r>
      <w:r w:rsidRPr="00874AE1">
        <w:rPr>
          <w:rFonts w:cstheme="minorHAnsi"/>
          <w:lang w:val="fi-FI"/>
        </w:rPr>
        <w:t xml:space="preserve">Mikäli ilmaantuu äkillinen hengitysvaikeus tai yleistila romahtaa, soitetaan 112 ja muissa tilanteissa Päivystysapuun (116117) tai oman terveyskeskuksen koronaneuvontaan. </w:t>
      </w:r>
      <w:r w:rsidRPr="00874AE1">
        <w:rPr>
          <w:rFonts w:cstheme="minorHAnsi"/>
        </w:rPr>
        <w:t xml:space="preserve"> </w:t>
      </w:r>
      <w:r w:rsidRPr="00874AE1">
        <w:rPr>
          <w:lang w:val="fi-FI"/>
        </w:rPr>
        <w:t xml:space="preserve"> </w:t>
      </w:r>
    </w:p>
    <w:p w14:paraId="22326285" w14:textId="77777777" w:rsidR="00FD444D" w:rsidRPr="00874AE1" w:rsidRDefault="00FD444D" w:rsidP="008562C8">
      <w:pPr>
        <w:pStyle w:val="Luettelokappale"/>
        <w:numPr>
          <w:ilvl w:val="0"/>
          <w:numId w:val="42"/>
        </w:numPr>
        <w:jc w:val="both"/>
        <w:rPr>
          <w:rFonts w:cstheme="minorHAnsi"/>
        </w:rPr>
      </w:pPr>
      <w:r w:rsidRPr="00874AE1">
        <w:rPr>
          <w:rFonts w:cstheme="minorHAnsi"/>
          <w:lang w:val="fi-FI"/>
        </w:rPr>
        <w:lastRenderedPageBreak/>
        <w:t xml:space="preserve">Seuraavaksi arvioidaan, onko kyseessä verisuonitukoksen </w:t>
      </w:r>
      <w:r w:rsidRPr="00874AE1">
        <w:rPr>
          <w:rFonts w:cstheme="minorHAnsi"/>
          <w:b/>
          <w:bCs/>
          <w:lang w:val="fi-FI"/>
        </w:rPr>
        <w:t>suuren riskin</w:t>
      </w:r>
      <w:r w:rsidRPr="00874AE1">
        <w:rPr>
          <w:rFonts w:cstheme="minorHAnsi"/>
          <w:lang w:val="fi-FI"/>
        </w:rPr>
        <w:t xml:space="preserve"> potilas: </w:t>
      </w:r>
    </w:p>
    <w:p w14:paraId="01FA4FE1" w14:textId="0BCCA46F" w:rsidR="00FD444D" w:rsidRPr="00874AE1" w:rsidRDefault="009B2E6E" w:rsidP="008562C8">
      <w:pPr>
        <w:pStyle w:val="Luettelokappale"/>
        <w:numPr>
          <w:ilvl w:val="2"/>
          <w:numId w:val="42"/>
        </w:numPr>
        <w:jc w:val="both"/>
      </w:pPr>
      <w:r>
        <w:rPr>
          <w:rFonts w:cstheme="minorHAnsi"/>
          <w:lang w:val="fi-FI"/>
        </w:rPr>
        <w:t>A</w:t>
      </w:r>
      <w:r w:rsidR="00FD444D" w:rsidRPr="00874AE1">
        <w:rPr>
          <w:rFonts w:cstheme="minorHAnsi"/>
          <w:lang w:val="fi-FI"/>
        </w:rPr>
        <w:t>ikaisempi syvä laskimo-, porttilaskimo-, sinustromboosi tai keuhkoembolia</w:t>
      </w:r>
    </w:p>
    <w:p w14:paraId="7AD709C1" w14:textId="6B890DC8" w:rsidR="00FD444D" w:rsidRPr="00874AE1" w:rsidRDefault="009B2E6E" w:rsidP="008562C8">
      <w:pPr>
        <w:pStyle w:val="Luettelokappale"/>
        <w:numPr>
          <w:ilvl w:val="2"/>
          <w:numId w:val="42"/>
        </w:numPr>
        <w:jc w:val="both"/>
      </w:pPr>
      <w:r>
        <w:rPr>
          <w:rFonts w:cstheme="minorHAnsi"/>
          <w:lang w:val="fi-FI"/>
        </w:rPr>
        <w:t>Y</w:t>
      </w:r>
      <w:r w:rsidR="00FD444D" w:rsidRPr="00874AE1">
        <w:rPr>
          <w:rFonts w:cstheme="minorHAnsi"/>
          <w:lang w:val="fi-FI"/>
        </w:rPr>
        <w:t>leistynyt aterotromboosi (sydän- ja verisuonitaudin tukoskomplikaatioita</w:t>
      </w:r>
      <w:r w:rsidR="00637FCB">
        <w:rPr>
          <w:rFonts w:cstheme="minorHAnsi"/>
          <w:lang w:val="fi-FI"/>
        </w:rPr>
        <w:t>)</w:t>
      </w:r>
    </w:p>
    <w:p w14:paraId="269E38F6" w14:textId="7C6677DB" w:rsidR="00FD444D" w:rsidRPr="00874AE1" w:rsidRDefault="009B2E6E" w:rsidP="008562C8">
      <w:pPr>
        <w:pStyle w:val="Luettelokappale"/>
        <w:numPr>
          <w:ilvl w:val="2"/>
          <w:numId w:val="42"/>
        </w:numPr>
        <w:jc w:val="both"/>
      </w:pPr>
      <w:r>
        <w:rPr>
          <w:rFonts w:cstheme="minorHAnsi"/>
          <w:lang w:val="fi-FI"/>
        </w:rPr>
        <w:t>T</w:t>
      </w:r>
      <w:r w:rsidR="00FD444D" w:rsidRPr="00874AE1">
        <w:rPr>
          <w:rFonts w:cstheme="minorHAnsi"/>
          <w:lang w:val="fi-FI"/>
        </w:rPr>
        <w:t>unnettu tukosalttius (trombofilia)</w:t>
      </w:r>
    </w:p>
    <w:p w14:paraId="1EFC0BE9" w14:textId="0E4998B8" w:rsidR="00FD444D" w:rsidRPr="00874AE1" w:rsidRDefault="009B2E6E" w:rsidP="008562C8">
      <w:pPr>
        <w:pStyle w:val="Luettelokappale"/>
        <w:numPr>
          <w:ilvl w:val="2"/>
          <w:numId w:val="42"/>
        </w:numPr>
        <w:jc w:val="both"/>
      </w:pPr>
      <w:r>
        <w:rPr>
          <w:rFonts w:cstheme="minorHAnsi"/>
          <w:lang w:val="fi-FI"/>
        </w:rPr>
        <w:t>A</w:t>
      </w:r>
      <w:r w:rsidR="00FD444D" w:rsidRPr="00874AE1">
        <w:rPr>
          <w:rFonts w:cstheme="minorHAnsi"/>
          <w:lang w:val="fi-FI"/>
        </w:rPr>
        <w:t>ktiivi syöpäsairaus ja sen hoidot</w:t>
      </w:r>
    </w:p>
    <w:p w14:paraId="4661BB9E" w14:textId="1D84C255" w:rsidR="00FD444D" w:rsidRPr="00874AE1" w:rsidRDefault="009B2E6E" w:rsidP="008562C8">
      <w:pPr>
        <w:pStyle w:val="Luettelokappale"/>
        <w:numPr>
          <w:ilvl w:val="2"/>
          <w:numId w:val="42"/>
        </w:numPr>
        <w:jc w:val="both"/>
      </w:pPr>
      <w:r>
        <w:rPr>
          <w:rFonts w:cstheme="minorHAnsi"/>
          <w:lang w:val="fi-FI"/>
        </w:rPr>
        <w:t>V</w:t>
      </w:r>
      <w:r w:rsidR="00FD444D" w:rsidRPr="00874AE1">
        <w:rPr>
          <w:rFonts w:cstheme="minorHAnsi"/>
          <w:lang w:val="fi-FI"/>
        </w:rPr>
        <w:t>eritaudit, kuten myeloproliferaatio, multippeli myelooma, PNH-tauti</w:t>
      </w:r>
    </w:p>
    <w:p w14:paraId="2E676B4D" w14:textId="7921D3C3" w:rsidR="00FD444D" w:rsidRPr="00874AE1" w:rsidRDefault="001034F5" w:rsidP="008562C8">
      <w:pPr>
        <w:pStyle w:val="Luettelokappale"/>
        <w:numPr>
          <w:ilvl w:val="2"/>
          <w:numId w:val="42"/>
        </w:numPr>
        <w:jc w:val="both"/>
      </w:pPr>
      <w:r>
        <w:rPr>
          <w:rFonts w:cstheme="minorHAnsi"/>
          <w:lang w:val="fi-FI"/>
        </w:rPr>
        <w:t xml:space="preserve">Aktiivi </w:t>
      </w:r>
      <w:r w:rsidR="00773E20">
        <w:rPr>
          <w:rFonts w:cstheme="minorHAnsi"/>
          <w:lang w:val="fi-FI"/>
        </w:rPr>
        <w:t>i</w:t>
      </w:r>
      <w:r w:rsidRPr="00874AE1">
        <w:rPr>
          <w:rFonts w:cstheme="minorHAnsi"/>
          <w:lang w:val="fi-FI"/>
        </w:rPr>
        <w:t xml:space="preserve">nflammatorinen </w:t>
      </w:r>
      <w:r w:rsidR="00FD444D" w:rsidRPr="00874AE1">
        <w:rPr>
          <w:rFonts w:cstheme="minorHAnsi"/>
          <w:lang w:val="fi-FI"/>
        </w:rPr>
        <w:t xml:space="preserve">perussairaus, kuten IBD, </w:t>
      </w:r>
      <w:r w:rsidR="00773E20">
        <w:rPr>
          <w:rFonts w:cstheme="minorHAnsi"/>
          <w:lang w:val="fi-FI"/>
        </w:rPr>
        <w:t xml:space="preserve">aktiivi </w:t>
      </w:r>
      <w:r w:rsidR="00FD444D" w:rsidRPr="00874AE1">
        <w:rPr>
          <w:rFonts w:cstheme="minorHAnsi"/>
          <w:lang w:val="fi-FI"/>
        </w:rPr>
        <w:t>reuma</w:t>
      </w:r>
      <w:r w:rsidR="009248C4">
        <w:rPr>
          <w:rFonts w:cstheme="minorHAnsi"/>
          <w:lang w:val="fi-FI"/>
        </w:rPr>
        <w:t>,</w:t>
      </w:r>
      <w:r w:rsidR="00FD444D" w:rsidRPr="00874AE1">
        <w:rPr>
          <w:rFonts w:cstheme="minorHAnsi"/>
          <w:lang w:val="fi-FI"/>
        </w:rPr>
        <w:t xml:space="preserve"> vaskuliitit, COPD</w:t>
      </w:r>
    </w:p>
    <w:p w14:paraId="508C26B6" w14:textId="2499D140" w:rsidR="00FD444D" w:rsidRPr="00874AE1" w:rsidRDefault="009B2E6E" w:rsidP="008562C8">
      <w:pPr>
        <w:pStyle w:val="Luettelokappale"/>
        <w:numPr>
          <w:ilvl w:val="2"/>
          <w:numId w:val="42"/>
        </w:numPr>
        <w:jc w:val="both"/>
      </w:pPr>
      <w:r>
        <w:rPr>
          <w:rFonts w:cstheme="minorHAnsi"/>
          <w:lang w:val="fi-FI"/>
        </w:rPr>
        <w:t>U</w:t>
      </w:r>
      <w:r w:rsidR="00FD444D" w:rsidRPr="00874AE1">
        <w:rPr>
          <w:rFonts w:cstheme="minorHAnsi"/>
          <w:lang w:val="fi-FI"/>
        </w:rPr>
        <w:t>seamman riskitaustan yhdistelmä ikä (&gt; 60 v), obesiteetti, rasvamaksa</w:t>
      </w:r>
    </w:p>
    <w:p w14:paraId="2BB607BC" w14:textId="015FC17D" w:rsidR="00FD444D" w:rsidRPr="00126081" w:rsidRDefault="009B2E6E" w:rsidP="00511BB7">
      <w:pPr>
        <w:pStyle w:val="Luettelokappale"/>
        <w:numPr>
          <w:ilvl w:val="2"/>
          <w:numId w:val="42"/>
        </w:numPr>
        <w:rPr>
          <w:i/>
          <w:color w:val="C00000"/>
        </w:rPr>
      </w:pPr>
      <w:r>
        <w:rPr>
          <w:rFonts w:cstheme="minorHAnsi"/>
          <w:lang w:val="fi-FI"/>
        </w:rPr>
        <w:t>R</w:t>
      </w:r>
      <w:r w:rsidR="00FD444D" w:rsidRPr="00874AE1">
        <w:rPr>
          <w:rFonts w:cstheme="minorHAnsi"/>
          <w:lang w:val="fi-FI"/>
        </w:rPr>
        <w:t xml:space="preserve">askaus (NKL:n ohjeet) ja lapsivuodeaika (6 viikkoa). </w:t>
      </w:r>
      <w:r w:rsidR="00637FCB">
        <w:rPr>
          <w:rFonts w:cstheme="minorHAnsi"/>
          <w:lang w:val="fi-FI"/>
        </w:rPr>
        <w:br/>
      </w:r>
      <w:r w:rsidR="00FD444D" w:rsidRPr="00874AE1">
        <w:rPr>
          <w:rFonts w:cstheme="minorHAnsi"/>
          <w:lang w:val="fi-FI"/>
        </w:rPr>
        <w:t xml:space="preserve">Lue: </w:t>
      </w:r>
      <w:hyperlink r:id="rId11" w:history="1">
        <w:r w:rsidR="00FD444D" w:rsidRPr="00FD444D">
          <w:rPr>
            <w:rStyle w:val="Hyperlinkki"/>
            <w:rFonts w:cstheme="minorHAnsi"/>
          </w:rPr>
          <w:t>Trombiprofylaksia raskaana olevalle potilaalle</w:t>
        </w:r>
      </w:hyperlink>
      <w:r w:rsidR="00FD444D" w:rsidRPr="00874AE1">
        <w:rPr>
          <w:rFonts w:cstheme="minorHAnsi"/>
          <w:lang w:val="fi-FI"/>
        </w:rPr>
        <w:t xml:space="preserve"> </w:t>
      </w:r>
      <w:r w:rsidR="00E8621D" w:rsidRPr="00126081">
        <w:rPr>
          <w:rFonts w:cstheme="minorHAnsi"/>
          <w:i/>
          <w:color w:val="C00000"/>
          <w:lang w:val="fi-FI"/>
        </w:rPr>
        <w:t>(linkki toimii vain HUSin sisäisessä verkossa)</w:t>
      </w:r>
    </w:p>
    <w:p w14:paraId="01537531" w14:textId="3978711B" w:rsidR="00FD444D" w:rsidRPr="00874AE1" w:rsidRDefault="009B2E6E" w:rsidP="008562C8">
      <w:pPr>
        <w:pStyle w:val="Luettelokappale"/>
        <w:numPr>
          <w:ilvl w:val="2"/>
          <w:numId w:val="42"/>
        </w:numPr>
        <w:jc w:val="both"/>
      </w:pPr>
      <w:r>
        <w:rPr>
          <w:rFonts w:cstheme="minorHAnsi"/>
          <w:lang w:val="fi-FI"/>
        </w:rPr>
        <w:t>S</w:t>
      </w:r>
      <w:r w:rsidR="00FD444D" w:rsidRPr="00874AE1">
        <w:rPr>
          <w:rFonts w:cstheme="minorHAnsi"/>
          <w:lang w:val="fi-FI"/>
        </w:rPr>
        <w:t>uuren leikkauksen jälkitila, kuten syöpäleikkaus, ortopedia (kuluneen 1-3 kk aikana)</w:t>
      </w:r>
    </w:p>
    <w:p w14:paraId="79C38D9F" w14:textId="77777777" w:rsidR="00FD444D" w:rsidRPr="00874AE1" w:rsidRDefault="00FD444D" w:rsidP="008562C8">
      <w:pPr>
        <w:pStyle w:val="Luettelokappale"/>
        <w:numPr>
          <w:ilvl w:val="0"/>
          <w:numId w:val="42"/>
        </w:numPr>
        <w:jc w:val="both"/>
      </w:pPr>
      <w:r w:rsidRPr="00874AE1">
        <w:rPr>
          <w:rFonts w:cstheme="minorHAnsi"/>
          <w:lang w:val="fi-FI"/>
        </w:rPr>
        <w:t>Käydään läpi vältettävät lääkkeet, ellei ole selvä indikaatio:</w:t>
      </w:r>
    </w:p>
    <w:p w14:paraId="5E1D0F23" w14:textId="47E808BA" w:rsidR="00FD444D" w:rsidRPr="00874AE1" w:rsidRDefault="009B2E6E" w:rsidP="008562C8">
      <w:pPr>
        <w:pStyle w:val="Luettelokappale"/>
        <w:numPr>
          <w:ilvl w:val="2"/>
          <w:numId w:val="42"/>
        </w:numPr>
        <w:jc w:val="both"/>
      </w:pPr>
      <w:r>
        <w:rPr>
          <w:rFonts w:cstheme="minorHAnsi"/>
          <w:lang w:val="fi-FI"/>
        </w:rPr>
        <w:t>L</w:t>
      </w:r>
      <w:r w:rsidR="00FD444D" w:rsidRPr="00874AE1">
        <w:rPr>
          <w:rFonts w:cstheme="minorHAnsi"/>
          <w:lang w:val="fi-FI"/>
        </w:rPr>
        <w:t>aihdutuslääkkeet</w:t>
      </w:r>
    </w:p>
    <w:p w14:paraId="1BDA9931" w14:textId="47FE637E" w:rsidR="00FD444D" w:rsidRPr="00874AE1" w:rsidRDefault="009B2E6E" w:rsidP="008562C8">
      <w:pPr>
        <w:pStyle w:val="Luettelokappale"/>
        <w:numPr>
          <w:ilvl w:val="2"/>
          <w:numId w:val="42"/>
        </w:numPr>
        <w:jc w:val="both"/>
      </w:pPr>
      <w:r>
        <w:rPr>
          <w:rFonts w:cstheme="minorHAnsi"/>
          <w:lang w:val="fi-FI"/>
        </w:rPr>
        <w:t>K</w:t>
      </w:r>
      <w:r w:rsidR="00FD444D" w:rsidRPr="00874AE1">
        <w:rPr>
          <w:rFonts w:cstheme="minorHAnsi"/>
          <w:lang w:val="fi-FI"/>
        </w:rPr>
        <w:t>alsiumvalmisteet, (tauotetaan, hyperkalsemia kiihdyttää hyytymistä, kontrolloidaan toipilasvaiheessa)</w:t>
      </w:r>
    </w:p>
    <w:p w14:paraId="2C33C0B9" w14:textId="67857C28" w:rsidR="00FD444D" w:rsidRPr="00874AE1" w:rsidRDefault="001034F5" w:rsidP="008562C8">
      <w:pPr>
        <w:pStyle w:val="Luettelokappale"/>
        <w:numPr>
          <w:ilvl w:val="2"/>
          <w:numId w:val="42"/>
        </w:numPr>
        <w:jc w:val="both"/>
      </w:pPr>
      <w:r>
        <w:rPr>
          <w:rFonts w:cstheme="minorHAnsi"/>
          <w:lang w:val="fi-FI"/>
        </w:rPr>
        <w:t>COX2</w:t>
      </w:r>
      <w:r w:rsidR="00773E20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estäjät ja </w:t>
      </w:r>
      <w:r w:rsidR="00FD444D" w:rsidRPr="00874AE1">
        <w:rPr>
          <w:rFonts w:cstheme="minorHAnsi"/>
          <w:lang w:val="fi-FI"/>
        </w:rPr>
        <w:t>NSAID:t</w:t>
      </w:r>
      <w:r w:rsidR="008562C8">
        <w:rPr>
          <w:rFonts w:cstheme="minorHAnsi"/>
          <w:lang w:val="fi-FI"/>
        </w:rPr>
        <w:t>,</w:t>
      </w:r>
      <w:r w:rsidR="00FD444D" w:rsidRPr="00874AE1">
        <w:rPr>
          <w:rFonts w:cstheme="minorHAnsi"/>
          <w:lang w:val="fi-FI"/>
        </w:rPr>
        <w:t xml:space="preserve"> jos kehittyy munuaisten vajaatoiminta </w:t>
      </w:r>
    </w:p>
    <w:p w14:paraId="58753D77" w14:textId="77777777" w:rsidR="00FD444D" w:rsidRPr="00874AE1" w:rsidRDefault="00FD444D" w:rsidP="008562C8">
      <w:pPr>
        <w:pStyle w:val="Luettelokappale"/>
        <w:numPr>
          <w:ilvl w:val="0"/>
          <w:numId w:val="42"/>
        </w:numPr>
        <w:jc w:val="both"/>
        <w:rPr>
          <w:b/>
          <w:bCs/>
        </w:rPr>
      </w:pPr>
      <w:r w:rsidRPr="00874AE1">
        <w:rPr>
          <w:rFonts w:cstheme="minorHAnsi"/>
          <w:lang w:val="fi-FI"/>
        </w:rPr>
        <w:t>Suositeltavia lääkkeitä ovat PPI-mahansuojalääkkeet</w:t>
      </w:r>
      <w:r>
        <w:rPr>
          <w:rFonts w:cstheme="minorHAnsi"/>
          <w:lang w:val="fi-FI"/>
        </w:rPr>
        <w:t xml:space="preserve"> (antitromboottisen </w:t>
      </w:r>
      <w:r w:rsidRPr="00874AE1">
        <w:rPr>
          <w:rFonts w:cstheme="minorHAnsi"/>
          <w:lang w:val="fi-FI"/>
        </w:rPr>
        <w:t xml:space="preserve">hoidon yhteydessä) ja parasetamoli (ellei vasta-aiheita).                                                                              </w:t>
      </w:r>
    </w:p>
    <w:p w14:paraId="24C3EA47" w14:textId="415564C0" w:rsidR="00FD444D" w:rsidRPr="00874AE1" w:rsidRDefault="00FD444D" w:rsidP="008562C8">
      <w:pPr>
        <w:pStyle w:val="Luettelokappale"/>
        <w:numPr>
          <w:ilvl w:val="0"/>
          <w:numId w:val="42"/>
        </w:numPr>
        <w:jc w:val="both"/>
        <w:rPr>
          <w:b/>
          <w:bCs/>
        </w:rPr>
      </w:pPr>
      <w:r w:rsidRPr="00874AE1">
        <w:rPr>
          <w:rFonts w:cstheme="minorHAnsi"/>
          <w:b/>
          <w:bCs/>
          <w:lang w:val="fi-FI"/>
        </w:rPr>
        <w:t xml:space="preserve">Kun potilaalla </w:t>
      </w:r>
      <w:r w:rsidR="008562C8">
        <w:rPr>
          <w:rFonts w:cstheme="minorHAnsi"/>
          <w:b/>
          <w:bCs/>
          <w:lang w:val="fi-FI"/>
        </w:rPr>
        <w:t xml:space="preserve">on </w:t>
      </w:r>
      <w:r w:rsidRPr="00874AE1">
        <w:rPr>
          <w:rFonts w:cstheme="minorHAnsi"/>
          <w:b/>
          <w:bCs/>
          <w:lang w:val="fi-FI"/>
        </w:rPr>
        <w:t>suuri tukosriski tai useampia edellä mainittuja tukoksen riskitekijöitä, tarvitaan lääkkeellistä tukosprofylaksia pienimolekyylisellä hepariinilla (LMWH)</w:t>
      </w:r>
      <w:r w:rsidR="008562C8">
        <w:rPr>
          <w:rFonts w:cstheme="minorHAnsi"/>
          <w:b/>
          <w:bCs/>
          <w:lang w:val="fi-FI"/>
        </w:rPr>
        <w:t>, ellei potilaalla ole jo valmiiksi anti</w:t>
      </w:r>
      <w:r w:rsidR="001034F5">
        <w:rPr>
          <w:rFonts w:cstheme="minorHAnsi"/>
          <w:b/>
          <w:bCs/>
          <w:lang w:val="fi-FI"/>
        </w:rPr>
        <w:t>koagulaation</w:t>
      </w:r>
      <w:r w:rsidR="00773E20">
        <w:rPr>
          <w:rFonts w:cstheme="minorHAnsi"/>
          <w:b/>
          <w:bCs/>
          <w:lang w:val="fi-FI"/>
        </w:rPr>
        <w:t xml:space="preserve"> </w:t>
      </w:r>
      <w:r w:rsidR="008562C8">
        <w:rPr>
          <w:rFonts w:cstheme="minorHAnsi"/>
          <w:b/>
          <w:bCs/>
          <w:lang w:val="fi-FI"/>
        </w:rPr>
        <w:t>hoitoa (suorat antikoagulantit, varfariini</w:t>
      </w:r>
      <w:r w:rsidR="001034F5">
        <w:rPr>
          <w:rFonts w:cstheme="minorHAnsi"/>
          <w:b/>
          <w:bCs/>
          <w:lang w:val="fi-FI"/>
        </w:rPr>
        <w:t>)</w:t>
      </w:r>
      <w:r w:rsidR="00773E20">
        <w:rPr>
          <w:rFonts w:cstheme="minorHAnsi"/>
          <w:b/>
          <w:bCs/>
          <w:lang w:val="fi-FI"/>
        </w:rPr>
        <w:t xml:space="preserve">. </w:t>
      </w:r>
      <w:r w:rsidR="001034F5">
        <w:rPr>
          <w:rFonts w:cstheme="minorHAnsi"/>
          <w:b/>
          <w:bCs/>
          <w:lang w:val="fi-FI"/>
        </w:rPr>
        <w:t xml:space="preserve">Jos käytössä on </w:t>
      </w:r>
      <w:r w:rsidR="008562C8">
        <w:rPr>
          <w:rFonts w:cstheme="minorHAnsi"/>
          <w:b/>
          <w:bCs/>
          <w:lang w:val="fi-FI"/>
        </w:rPr>
        <w:t xml:space="preserve">ASA </w:t>
      </w:r>
      <w:r w:rsidR="001034F5">
        <w:rPr>
          <w:rFonts w:cstheme="minorHAnsi"/>
          <w:b/>
          <w:bCs/>
          <w:lang w:val="fi-FI"/>
        </w:rPr>
        <w:t xml:space="preserve">tai </w:t>
      </w:r>
      <w:r w:rsidR="008562C8">
        <w:rPr>
          <w:rFonts w:cstheme="minorHAnsi"/>
          <w:b/>
          <w:bCs/>
          <w:lang w:val="fi-FI"/>
        </w:rPr>
        <w:t>muu antitrombootti</w:t>
      </w:r>
      <w:r w:rsidR="00773E20">
        <w:rPr>
          <w:rFonts w:cstheme="minorHAnsi"/>
          <w:b/>
          <w:bCs/>
          <w:lang w:val="fi-FI"/>
        </w:rPr>
        <w:t>nen</w:t>
      </w:r>
      <w:r w:rsidR="008562C8">
        <w:rPr>
          <w:rFonts w:cstheme="minorHAnsi"/>
          <w:b/>
          <w:bCs/>
          <w:lang w:val="fi-FI"/>
        </w:rPr>
        <w:t xml:space="preserve"> lääk</w:t>
      </w:r>
      <w:r w:rsidR="00773E20">
        <w:rPr>
          <w:rFonts w:cstheme="minorHAnsi"/>
          <w:b/>
          <w:bCs/>
          <w:lang w:val="fi-FI"/>
        </w:rPr>
        <w:t>e,</w:t>
      </w:r>
      <w:r w:rsidR="001034F5">
        <w:rPr>
          <w:rFonts w:cstheme="minorHAnsi"/>
          <w:b/>
          <w:bCs/>
          <w:lang w:val="fi-FI"/>
        </w:rPr>
        <w:t xml:space="preserve"> harkitaan LMWH:n pientä annosta riskiprofiilin mukaan</w:t>
      </w:r>
      <w:r w:rsidR="008562C8">
        <w:rPr>
          <w:rFonts w:cstheme="minorHAnsi"/>
          <w:b/>
          <w:bCs/>
          <w:lang w:val="fi-FI"/>
        </w:rPr>
        <w:t>.</w:t>
      </w:r>
    </w:p>
    <w:p w14:paraId="0AFF7CCA" w14:textId="786CFB52" w:rsidR="00FD444D" w:rsidRPr="00874AE1" w:rsidRDefault="00FD444D" w:rsidP="008562C8">
      <w:pPr>
        <w:pStyle w:val="Luettelokappale"/>
        <w:numPr>
          <w:ilvl w:val="2"/>
          <w:numId w:val="42"/>
        </w:numPr>
        <w:jc w:val="both"/>
      </w:pPr>
      <w:r w:rsidRPr="00874AE1">
        <w:rPr>
          <w:lang w:val="fi-FI"/>
        </w:rPr>
        <w:t>E</w:t>
      </w:r>
      <w:r w:rsidRPr="00874AE1">
        <w:t>noksapariini (Klexane) 0.5 mg/kg 1 x 1-2 tai daltepariini (Fragmin) 50 IU/kg x 1-2</w:t>
      </w:r>
      <w:r w:rsidR="008562C8">
        <w:rPr>
          <w:lang w:val="fi-FI"/>
        </w:rPr>
        <w:t>.</w:t>
      </w:r>
    </w:p>
    <w:p w14:paraId="06630071" w14:textId="38A7A668" w:rsidR="00FD444D" w:rsidRPr="00874AE1" w:rsidRDefault="00FD444D" w:rsidP="008562C8">
      <w:pPr>
        <w:pStyle w:val="Luettelokappale"/>
        <w:numPr>
          <w:ilvl w:val="2"/>
          <w:numId w:val="42"/>
        </w:numPr>
        <w:jc w:val="both"/>
      </w:pPr>
      <w:r w:rsidRPr="00874AE1">
        <w:rPr>
          <w:lang w:val="fi-FI"/>
        </w:rPr>
        <w:t xml:space="preserve">Ylipainoisilla korotettu annos tai annostelu kaksi kertaa päivässä. </w:t>
      </w:r>
      <w:r w:rsidRPr="00874AE1">
        <w:t>Kaksi kertaa päivässä annostelu</w:t>
      </w:r>
      <w:r w:rsidRPr="00874AE1">
        <w:rPr>
          <w:lang w:val="fi-FI"/>
        </w:rPr>
        <w:t xml:space="preserve"> myös e</w:t>
      </w:r>
      <w:r w:rsidRPr="00874AE1">
        <w:t>rityisen suuren riskin potilaalle</w:t>
      </w:r>
      <w:r w:rsidR="008562C8">
        <w:rPr>
          <w:lang w:val="fi-FI"/>
        </w:rPr>
        <w:t>.</w:t>
      </w:r>
    </w:p>
    <w:p w14:paraId="1F14A53A" w14:textId="77777777" w:rsidR="00FD444D" w:rsidRPr="00874AE1" w:rsidRDefault="00FD444D" w:rsidP="008562C8">
      <w:pPr>
        <w:pStyle w:val="Luettelokappale"/>
        <w:numPr>
          <w:ilvl w:val="2"/>
          <w:numId w:val="42"/>
        </w:numPr>
        <w:jc w:val="both"/>
      </w:pPr>
      <w:r w:rsidRPr="00874AE1">
        <w:rPr>
          <w:lang w:val="fi-FI"/>
        </w:rPr>
        <w:t>P</w:t>
      </w:r>
      <w:r w:rsidRPr="00874AE1">
        <w:t>ienempi annos</w:t>
      </w:r>
      <w:r w:rsidRPr="00874AE1">
        <w:rPr>
          <w:lang w:val="fi-FI"/>
        </w:rPr>
        <w:t xml:space="preserve"> valitaan</w:t>
      </w:r>
      <w:r w:rsidRPr="00874AE1">
        <w:t>, jos potilaalla on munuaisten vajaatoimintaa (eGFR &lt;50 ml/min)</w:t>
      </w:r>
      <w:r w:rsidRPr="00874AE1">
        <w:rPr>
          <w:lang w:val="fi-FI"/>
        </w:rPr>
        <w:t>)</w:t>
      </w:r>
      <w:r w:rsidRPr="00874AE1">
        <w:rPr>
          <w:rFonts w:cstheme="minorHAnsi"/>
          <w:lang w:val="fi-FI"/>
        </w:rPr>
        <w:t xml:space="preserve"> tai käytössään muu antitrombootti.</w:t>
      </w:r>
    </w:p>
    <w:p w14:paraId="7613620E" w14:textId="7263709E" w:rsidR="00FD444D" w:rsidRPr="00FD444D" w:rsidRDefault="00FD444D" w:rsidP="008562C8">
      <w:pPr>
        <w:pStyle w:val="Luettelokappale"/>
        <w:numPr>
          <w:ilvl w:val="2"/>
          <w:numId w:val="42"/>
        </w:numPr>
        <w:jc w:val="both"/>
      </w:pPr>
      <w:r w:rsidRPr="00874AE1">
        <w:rPr>
          <w:rFonts w:cstheme="minorHAnsi"/>
        </w:rPr>
        <w:t xml:space="preserve">Enoksapariini (KlexaneR) tai </w:t>
      </w:r>
      <w:r w:rsidR="008562C8">
        <w:rPr>
          <w:rFonts w:cstheme="minorHAnsi"/>
          <w:lang w:val="fi-FI"/>
        </w:rPr>
        <w:t>d</w:t>
      </w:r>
      <w:r w:rsidRPr="00874AE1">
        <w:rPr>
          <w:rFonts w:cstheme="minorHAnsi"/>
        </w:rPr>
        <w:t xml:space="preserve">altepariini (FragminR) </w:t>
      </w:r>
    </w:p>
    <w:p w14:paraId="60A5B7EF" w14:textId="77777777" w:rsidR="00FD444D" w:rsidRPr="00FD444D" w:rsidRDefault="00FD444D" w:rsidP="008562C8">
      <w:pPr>
        <w:pStyle w:val="Luettelokappale"/>
        <w:numPr>
          <w:ilvl w:val="3"/>
          <w:numId w:val="42"/>
        </w:numPr>
        <w:jc w:val="both"/>
      </w:pPr>
      <w:r w:rsidRPr="00FD444D">
        <w:rPr>
          <w:rFonts w:cstheme="minorHAnsi"/>
        </w:rPr>
        <w:t xml:space="preserve">&lt; 50 kg </w:t>
      </w:r>
      <w:r w:rsidRPr="00FD444D">
        <w:rPr>
          <w:rFonts w:cstheme="minorHAnsi"/>
        </w:rPr>
        <w:tab/>
        <w:t xml:space="preserve">20 mg 1x1 </w:t>
      </w:r>
      <w:r w:rsidRPr="00FD444D">
        <w:rPr>
          <w:rFonts w:cstheme="minorHAnsi"/>
        </w:rPr>
        <w:tab/>
      </w:r>
      <w:r w:rsidRPr="00FD444D">
        <w:rPr>
          <w:rFonts w:cstheme="minorHAnsi"/>
        </w:rPr>
        <w:tab/>
        <w:t xml:space="preserve">2500 IU 1x1 </w:t>
      </w:r>
      <w:r w:rsidRPr="00FD444D">
        <w:rPr>
          <w:rFonts w:cstheme="minorHAnsi"/>
        </w:rPr>
        <w:tab/>
      </w:r>
      <w:r w:rsidRPr="00FD444D">
        <w:rPr>
          <w:rFonts w:cstheme="minorHAnsi"/>
        </w:rPr>
        <w:tab/>
      </w:r>
    </w:p>
    <w:p w14:paraId="508E279C" w14:textId="77777777" w:rsidR="00FD444D" w:rsidRPr="00FD444D" w:rsidRDefault="00FD444D" w:rsidP="008562C8">
      <w:pPr>
        <w:pStyle w:val="Luettelokappale"/>
        <w:numPr>
          <w:ilvl w:val="3"/>
          <w:numId w:val="42"/>
        </w:numPr>
        <w:jc w:val="both"/>
      </w:pPr>
      <w:r w:rsidRPr="00FD444D">
        <w:rPr>
          <w:rFonts w:cstheme="minorHAnsi"/>
        </w:rPr>
        <w:t xml:space="preserve">50-70 kg </w:t>
      </w:r>
      <w:r w:rsidRPr="00FD444D">
        <w:rPr>
          <w:rFonts w:cstheme="minorHAnsi"/>
        </w:rPr>
        <w:tab/>
        <w:t xml:space="preserve">40 mg 1x1 </w:t>
      </w:r>
      <w:r w:rsidRPr="00FD444D">
        <w:rPr>
          <w:rFonts w:cstheme="minorHAnsi"/>
        </w:rPr>
        <w:tab/>
      </w:r>
      <w:r w:rsidRPr="00FD444D">
        <w:rPr>
          <w:rFonts w:cstheme="minorHAnsi"/>
        </w:rPr>
        <w:tab/>
        <w:t xml:space="preserve">5000 IU 1x1 </w:t>
      </w:r>
    </w:p>
    <w:p w14:paraId="78927910" w14:textId="77777777" w:rsidR="00FD444D" w:rsidRPr="00FD444D" w:rsidRDefault="00FD444D" w:rsidP="008562C8">
      <w:pPr>
        <w:pStyle w:val="Luettelokappale"/>
        <w:numPr>
          <w:ilvl w:val="3"/>
          <w:numId w:val="42"/>
        </w:numPr>
        <w:jc w:val="both"/>
      </w:pPr>
      <w:r w:rsidRPr="00FD444D">
        <w:rPr>
          <w:rFonts w:cstheme="minorHAnsi"/>
        </w:rPr>
        <w:t xml:space="preserve">71-90 kg </w:t>
      </w:r>
      <w:r w:rsidRPr="00FD444D">
        <w:rPr>
          <w:rFonts w:cstheme="minorHAnsi"/>
        </w:rPr>
        <w:tab/>
        <w:t xml:space="preserve">60 mg 1x1 </w:t>
      </w:r>
      <w:r w:rsidRPr="00FD444D">
        <w:rPr>
          <w:rFonts w:cstheme="minorHAnsi"/>
        </w:rPr>
        <w:tab/>
      </w:r>
      <w:r w:rsidRPr="00FD444D">
        <w:rPr>
          <w:rFonts w:cstheme="minorHAnsi"/>
        </w:rPr>
        <w:tab/>
        <w:t xml:space="preserve">7500 IU 1x1 </w:t>
      </w:r>
    </w:p>
    <w:p w14:paraId="263B6282" w14:textId="77777777" w:rsidR="00FD444D" w:rsidRPr="00FD444D" w:rsidRDefault="00FD444D" w:rsidP="008562C8">
      <w:pPr>
        <w:pStyle w:val="Luettelokappale"/>
        <w:numPr>
          <w:ilvl w:val="3"/>
          <w:numId w:val="42"/>
        </w:numPr>
        <w:jc w:val="both"/>
      </w:pPr>
      <w:r w:rsidRPr="00FD444D">
        <w:rPr>
          <w:rFonts w:cstheme="minorHAnsi"/>
        </w:rPr>
        <w:t xml:space="preserve">&gt; 90 kg </w:t>
      </w:r>
      <w:r w:rsidRPr="00FD444D">
        <w:rPr>
          <w:rFonts w:cstheme="minorHAnsi"/>
        </w:rPr>
        <w:tab/>
        <w:t xml:space="preserve">40 mg 1x2 </w:t>
      </w:r>
      <w:r w:rsidRPr="00FD444D">
        <w:rPr>
          <w:rFonts w:cstheme="minorHAnsi"/>
        </w:rPr>
        <w:tab/>
      </w:r>
      <w:r w:rsidRPr="00FD444D">
        <w:rPr>
          <w:rFonts w:cstheme="minorHAnsi"/>
        </w:rPr>
        <w:tab/>
        <w:t xml:space="preserve">5000 IU 1x2 </w:t>
      </w:r>
    </w:p>
    <w:p w14:paraId="4F3EED44" w14:textId="77777777" w:rsidR="00FD444D" w:rsidRPr="00FD444D" w:rsidRDefault="00FD444D" w:rsidP="008562C8">
      <w:pPr>
        <w:pStyle w:val="Luettelokappale"/>
        <w:numPr>
          <w:ilvl w:val="3"/>
          <w:numId w:val="42"/>
        </w:numPr>
        <w:jc w:val="both"/>
      </w:pPr>
      <w:r w:rsidRPr="00FD444D">
        <w:rPr>
          <w:rFonts w:cstheme="minorHAnsi"/>
        </w:rPr>
        <w:t xml:space="preserve">&gt; 120 kg </w:t>
      </w:r>
      <w:r w:rsidRPr="00FD444D">
        <w:rPr>
          <w:rFonts w:cstheme="minorHAnsi"/>
        </w:rPr>
        <w:tab/>
        <w:t xml:space="preserve">60 mg 1x2 </w:t>
      </w:r>
      <w:r w:rsidRPr="00FD444D">
        <w:rPr>
          <w:rFonts w:cstheme="minorHAnsi"/>
        </w:rPr>
        <w:tab/>
      </w:r>
      <w:r w:rsidRPr="00FD444D">
        <w:rPr>
          <w:rFonts w:cstheme="minorHAnsi"/>
        </w:rPr>
        <w:tab/>
        <w:t xml:space="preserve">7500 IU 1x2 </w:t>
      </w:r>
    </w:p>
    <w:p w14:paraId="4F58DB46" w14:textId="77777777" w:rsidR="00126081" w:rsidRDefault="00126081">
      <w:pPr>
        <w:rPr>
          <w:rFonts w:cstheme="minorHAnsi"/>
          <w:lang w:val="fi-FI"/>
        </w:rPr>
      </w:pPr>
      <w:r>
        <w:rPr>
          <w:rFonts w:cstheme="minorHAnsi"/>
          <w:lang w:val="fi-FI"/>
        </w:rPr>
        <w:br w:type="page"/>
      </w:r>
    </w:p>
    <w:p w14:paraId="60D2E0D8" w14:textId="60AC5C2C" w:rsidR="00FD444D" w:rsidRPr="00874AE1" w:rsidRDefault="00FD444D" w:rsidP="008562C8">
      <w:pPr>
        <w:pStyle w:val="Luettelokappale"/>
        <w:numPr>
          <w:ilvl w:val="2"/>
          <w:numId w:val="42"/>
        </w:numPr>
        <w:jc w:val="both"/>
      </w:pPr>
      <w:r w:rsidRPr="00FD444D">
        <w:rPr>
          <w:rFonts w:cstheme="minorHAnsi"/>
          <w:lang w:val="fi-FI"/>
        </w:rPr>
        <w:lastRenderedPageBreak/>
        <w:t xml:space="preserve">LMWH-hoidon kesto arvioidaan sekä COVID-taudin vaikeuden että potilaan tukoriskin mukaan: </w:t>
      </w:r>
    </w:p>
    <w:p w14:paraId="1508AA12" w14:textId="77777777" w:rsidR="00FD444D" w:rsidRPr="00874AE1" w:rsidRDefault="00FD444D" w:rsidP="008562C8">
      <w:pPr>
        <w:pStyle w:val="Luettelokappale"/>
        <w:numPr>
          <w:ilvl w:val="3"/>
          <w:numId w:val="42"/>
        </w:numPr>
        <w:jc w:val="both"/>
      </w:pPr>
      <w:r w:rsidRPr="00874AE1">
        <w:rPr>
          <w:rFonts w:cstheme="minorHAnsi"/>
          <w:lang w:val="fi-FI"/>
        </w:rPr>
        <w:t>10 vrk pienen tai 10-20 vrk keskisuuren riskin potilailla</w:t>
      </w:r>
    </w:p>
    <w:p w14:paraId="087121B9" w14:textId="268DB1F9" w:rsidR="00FD444D" w:rsidRPr="00874AE1" w:rsidRDefault="009B2E6E" w:rsidP="008562C8">
      <w:pPr>
        <w:pStyle w:val="Luettelokappale"/>
        <w:numPr>
          <w:ilvl w:val="3"/>
          <w:numId w:val="42"/>
        </w:numPr>
        <w:jc w:val="both"/>
      </w:pPr>
      <w:r>
        <w:rPr>
          <w:rFonts w:cstheme="minorHAnsi"/>
          <w:lang w:val="fi-FI"/>
        </w:rPr>
        <w:t>A</w:t>
      </w:r>
      <w:r w:rsidR="00FD444D" w:rsidRPr="00874AE1">
        <w:rPr>
          <w:rFonts w:cstheme="minorHAnsi"/>
          <w:lang w:val="fi-FI"/>
        </w:rPr>
        <w:t>d 30 vrk suuren tukosriskin potilailla</w:t>
      </w:r>
    </w:p>
    <w:p w14:paraId="41192D33" w14:textId="77777777" w:rsidR="00FD444D" w:rsidRPr="00874AE1" w:rsidRDefault="00FD444D" w:rsidP="008562C8">
      <w:pPr>
        <w:pStyle w:val="Luettelokappale"/>
        <w:numPr>
          <w:ilvl w:val="2"/>
          <w:numId w:val="42"/>
        </w:numPr>
        <w:jc w:val="both"/>
      </w:pPr>
      <w:r w:rsidRPr="00874AE1">
        <w:rPr>
          <w:rFonts w:cstheme="minorHAnsi"/>
          <w:lang w:val="fi-FI"/>
        </w:rPr>
        <w:t xml:space="preserve">Oirekuvan vaikeutuessa (kuume ja immobilisaatio pitkittyvät) tarvitaan </w:t>
      </w:r>
      <w:r w:rsidRPr="00874AE1">
        <w:rPr>
          <w:rFonts w:cstheme="minorHAnsi"/>
        </w:rPr>
        <w:t>kliinistä ja laboratorioseuran</w:t>
      </w:r>
      <w:r w:rsidRPr="00874AE1">
        <w:rPr>
          <w:rFonts w:cstheme="minorHAnsi"/>
          <w:lang w:val="fi-FI"/>
        </w:rPr>
        <w:t>taa, joista hyytymisalttiutta selvittävänä PVK, trombosyytit, FiDD, TT-% tai INR. Tutkimukset otetaan kunnan infektioterveysasemalla tai vastaavalla.</w:t>
      </w:r>
    </w:p>
    <w:p w14:paraId="7DE7D2B8" w14:textId="77777777" w:rsidR="00FD444D" w:rsidRPr="00874AE1" w:rsidRDefault="00FD444D" w:rsidP="008562C8">
      <w:pPr>
        <w:pStyle w:val="Luettelokappale"/>
        <w:numPr>
          <w:ilvl w:val="2"/>
          <w:numId w:val="42"/>
        </w:numPr>
        <w:jc w:val="both"/>
        <w:rPr>
          <w:rFonts w:cstheme="minorHAnsi"/>
          <w:color w:val="008184" w:themeColor="accent1" w:themeShade="BF"/>
          <w:lang w:val="fi-FI"/>
        </w:rPr>
      </w:pPr>
      <w:r w:rsidRPr="00874AE1">
        <w:t>LMWH</w:t>
      </w:r>
      <w:r w:rsidRPr="00874AE1">
        <w:rPr>
          <w:lang w:val="fi-FI"/>
        </w:rPr>
        <w:t>:n</w:t>
      </w:r>
      <w:r w:rsidRPr="00874AE1">
        <w:t xml:space="preserve"> jakelus</w:t>
      </w:r>
      <w:r w:rsidRPr="00874AE1">
        <w:rPr>
          <w:lang w:val="fi-FI"/>
        </w:rPr>
        <w:t>s</w:t>
      </w:r>
      <w:r w:rsidRPr="00874AE1">
        <w:t xml:space="preserve">a ja </w:t>
      </w:r>
      <w:r w:rsidRPr="00874AE1">
        <w:rPr>
          <w:lang w:val="fi-FI"/>
        </w:rPr>
        <w:t xml:space="preserve">potilaiden </w:t>
      </w:r>
      <w:r w:rsidRPr="00874AE1">
        <w:t>pistosopetukses</w:t>
      </w:r>
      <w:r w:rsidRPr="00874AE1">
        <w:rPr>
          <w:lang w:val="fi-FI"/>
        </w:rPr>
        <w:t>s</w:t>
      </w:r>
      <w:r w:rsidRPr="00874AE1">
        <w:t>a toimitaan paikallisesti sovitun ohjeen/käytännön mukaan</w:t>
      </w:r>
      <w:r w:rsidRPr="00874AE1">
        <w:rPr>
          <w:lang w:val="fi-FI"/>
        </w:rPr>
        <w:t xml:space="preserve">. </w:t>
      </w:r>
    </w:p>
    <w:p w14:paraId="418BCAD7" w14:textId="4FF0B326" w:rsidR="00FD444D" w:rsidRPr="00FD444D" w:rsidRDefault="00FD444D" w:rsidP="008562C8">
      <w:pPr>
        <w:pStyle w:val="Luettelokappale"/>
        <w:numPr>
          <w:ilvl w:val="2"/>
          <w:numId w:val="42"/>
        </w:numPr>
        <w:rPr>
          <w:rFonts w:cstheme="minorHAnsi"/>
          <w:color w:val="008184" w:themeColor="accent1" w:themeShade="BF"/>
          <w:lang w:val="fi-FI"/>
        </w:rPr>
      </w:pPr>
      <w:r w:rsidRPr="00FD444D">
        <w:rPr>
          <w:rFonts w:cstheme="minorHAnsi"/>
          <w:b/>
          <w:bCs/>
        </w:rPr>
        <w:t>COVID-potilaan LMWH</w:t>
      </w:r>
      <w:r w:rsidRPr="00FD444D">
        <w:rPr>
          <w:rFonts w:cstheme="minorHAnsi"/>
          <w:b/>
          <w:bCs/>
          <w:lang w:val="fi-FI"/>
        </w:rPr>
        <w:t>-</w:t>
      </w:r>
      <w:r w:rsidRPr="00FD444D">
        <w:rPr>
          <w:rFonts w:cstheme="minorHAnsi"/>
          <w:b/>
          <w:bCs/>
        </w:rPr>
        <w:t>hoito kuuluu tartuntatautilain mukaisen korvattavuuden piiriin</w:t>
      </w:r>
      <w:r w:rsidRPr="00FD444D">
        <w:rPr>
          <w:rFonts w:cstheme="minorHAnsi"/>
          <w:b/>
          <w:bCs/>
          <w:lang w:val="fi-FI"/>
        </w:rPr>
        <w:t xml:space="preserve">. </w:t>
      </w:r>
      <w:hyperlink r:id="rId12" w:history="1">
        <w:r w:rsidRPr="00FD444D">
          <w:rPr>
            <w:rStyle w:val="Hyperlinkki"/>
            <w:rFonts w:cstheme="minorHAnsi"/>
            <w:b/>
            <w:bCs/>
            <w:lang w:val="fi-FI"/>
          </w:rPr>
          <w:t>Lue lisää tästä.</w:t>
        </w:r>
      </w:hyperlink>
      <w:r w:rsidR="00E8621D" w:rsidRPr="00E8621D">
        <w:rPr>
          <w:rStyle w:val="Hyperlinkki"/>
          <w:rFonts w:cstheme="minorHAnsi"/>
          <w:b/>
          <w:bCs/>
          <w:u w:val="none"/>
          <w:lang w:val="fi-FI"/>
        </w:rPr>
        <w:t xml:space="preserve"> </w:t>
      </w:r>
      <w:r w:rsidR="00E8621D" w:rsidRPr="00126081">
        <w:rPr>
          <w:rStyle w:val="Hyperlinkki"/>
          <w:rFonts w:cstheme="minorHAnsi"/>
          <w:bCs/>
          <w:i/>
          <w:color w:val="C00000"/>
          <w:u w:val="none"/>
          <w:lang w:val="fi-FI"/>
        </w:rPr>
        <w:t>(linkki toimii vain HUSin sisäisessä verkossa)</w:t>
      </w:r>
      <w:r w:rsidRPr="00126081">
        <w:rPr>
          <w:bCs/>
          <w:i/>
          <w:color w:val="C00000"/>
        </w:rPr>
        <w:br/>
      </w:r>
    </w:p>
    <w:p w14:paraId="2AF16676" w14:textId="77777777" w:rsidR="00FD444D" w:rsidRPr="00874AE1" w:rsidRDefault="00FD444D" w:rsidP="008562C8">
      <w:pPr>
        <w:pStyle w:val="Luettelokappale"/>
        <w:numPr>
          <w:ilvl w:val="0"/>
          <w:numId w:val="42"/>
        </w:numPr>
        <w:jc w:val="both"/>
        <w:rPr>
          <w:rFonts w:cstheme="minorHAnsi"/>
          <w:b/>
          <w:bCs/>
        </w:rPr>
      </w:pPr>
      <w:r w:rsidRPr="00874AE1">
        <w:rPr>
          <w:rFonts w:cstheme="minorHAnsi"/>
          <w:b/>
          <w:bCs/>
          <w:lang w:val="fi-FI"/>
        </w:rPr>
        <w:t>Pienen tai korkeintaan kohtalaisen riskin potilas (ei riskitekijöitä tai yksi hallinnassa oleva riskitekijä kuten tasapainossa oleva reuma tai diabetes) informoidaan myös:</w:t>
      </w:r>
    </w:p>
    <w:p w14:paraId="09F473DE" w14:textId="77777777" w:rsidR="00FD444D" w:rsidRPr="00874AE1" w:rsidRDefault="00FD444D" w:rsidP="008562C8">
      <w:pPr>
        <w:pStyle w:val="Luettelokappale"/>
        <w:numPr>
          <w:ilvl w:val="2"/>
          <w:numId w:val="42"/>
        </w:numPr>
        <w:jc w:val="both"/>
        <w:rPr>
          <w:rFonts w:cstheme="minorHAnsi"/>
        </w:rPr>
      </w:pPr>
      <w:r w:rsidRPr="00874AE1">
        <w:rPr>
          <w:rFonts w:cstheme="minorHAnsi"/>
          <w:lang w:val="fi-FI"/>
        </w:rPr>
        <w:t>Jos COVID-oireet ovat lievät ja loppuvat viikon kuluessa, ei tarvita erityistoimenpiteitä.</w:t>
      </w:r>
    </w:p>
    <w:p w14:paraId="020DCB91" w14:textId="77777777" w:rsidR="00FD444D" w:rsidRPr="00874AE1" w:rsidRDefault="00FD444D" w:rsidP="008562C8">
      <w:pPr>
        <w:pStyle w:val="Luettelokappale"/>
        <w:numPr>
          <w:ilvl w:val="2"/>
          <w:numId w:val="42"/>
        </w:numPr>
        <w:jc w:val="both"/>
        <w:rPr>
          <w:rFonts w:cstheme="minorHAnsi"/>
        </w:rPr>
      </w:pPr>
      <w:r w:rsidRPr="00874AE1">
        <w:rPr>
          <w:rFonts w:cstheme="minorHAnsi"/>
          <w:lang w:val="fi-FI"/>
        </w:rPr>
        <w:t>Järjestetään hoitopuhelu esim. 3-4 vrk:n kuluttua toipumisen edistymisestä. Tämän voisi toteuttaa samassa yhteydessä, kun tartuntatautilääkäri arvioi eristyksen loppumisen.</w:t>
      </w:r>
    </w:p>
    <w:p w14:paraId="66472AD4" w14:textId="77777777" w:rsidR="00FD444D" w:rsidRPr="00FD444D" w:rsidRDefault="00FD444D" w:rsidP="008562C8">
      <w:pPr>
        <w:jc w:val="both"/>
        <w:rPr>
          <w:rFonts w:asciiTheme="majorHAnsi" w:hAnsiTheme="majorHAnsi"/>
          <w:b/>
          <w:bCs/>
          <w:sz w:val="24"/>
          <w:szCs w:val="24"/>
          <w:lang w:val="fi-FI"/>
        </w:rPr>
      </w:pPr>
      <w:r>
        <w:rPr>
          <w:rFonts w:asciiTheme="majorHAnsi" w:hAnsiTheme="majorHAnsi"/>
          <w:b/>
          <w:bCs/>
          <w:sz w:val="24"/>
          <w:szCs w:val="24"/>
          <w:lang w:val="fi-FI"/>
        </w:rPr>
        <w:br/>
      </w:r>
      <w:r w:rsidRPr="00FD444D">
        <w:rPr>
          <w:rFonts w:asciiTheme="majorHAnsi" w:hAnsiTheme="majorHAnsi"/>
          <w:b/>
          <w:bCs/>
          <w:sz w:val="24"/>
          <w:szCs w:val="24"/>
          <w:lang w:val="fi-FI"/>
        </w:rPr>
        <w:t>MITÄ POTILAS VOI ITSE TEHDÄ TUKOSALTTIUDEN VÄHENTÄMISEKSI?</w:t>
      </w:r>
    </w:p>
    <w:p w14:paraId="5342E6DA" w14:textId="4B773753" w:rsidR="00FD444D" w:rsidRPr="00874AE1" w:rsidRDefault="00FD444D" w:rsidP="008562C8">
      <w:pPr>
        <w:pStyle w:val="Luettelokappale"/>
        <w:numPr>
          <w:ilvl w:val="0"/>
          <w:numId w:val="43"/>
        </w:numPr>
        <w:jc w:val="both"/>
      </w:pPr>
      <w:r w:rsidRPr="00874AE1">
        <w:t>Juo riittävästi (2–2,5 l) nestettä vuorokaudessa</w:t>
      </w:r>
      <w:r w:rsidR="008562C8">
        <w:rPr>
          <w:lang w:val="fi-FI"/>
        </w:rPr>
        <w:t>.</w:t>
      </w:r>
    </w:p>
    <w:p w14:paraId="489F0FE3" w14:textId="77777777" w:rsidR="00FD444D" w:rsidRPr="00874AE1" w:rsidRDefault="00FD444D" w:rsidP="008562C8">
      <w:pPr>
        <w:pStyle w:val="Luettelokappale"/>
        <w:numPr>
          <w:ilvl w:val="0"/>
          <w:numId w:val="43"/>
        </w:numPr>
        <w:jc w:val="both"/>
      </w:pPr>
      <w:r w:rsidRPr="00874AE1">
        <w:t xml:space="preserve">Käytä </w:t>
      </w:r>
      <w:r w:rsidRPr="00874AE1">
        <w:rPr>
          <w:lang w:val="fi-FI"/>
        </w:rPr>
        <w:t xml:space="preserve">laskimoiden vajaatoiminnan </w:t>
      </w:r>
      <w:r w:rsidRPr="00874AE1">
        <w:t>hoitosukkaa</w:t>
      </w:r>
      <w:r w:rsidRPr="00874AE1">
        <w:rPr>
          <w:lang w:val="fi-FI"/>
        </w:rPr>
        <w:t xml:space="preserve"> tai ns. lentosukkaa. Pintalaskimoston sulkeutuessa, laskimopaluu syvän järjestelmän kautta tehostuu. Hoitosukan käyttö on erityisen tärkeää, jos ei voida käyttää AK-hoitoja verenvuotovaaran vuoksi.</w:t>
      </w:r>
      <w:r w:rsidRPr="00874AE1">
        <w:t xml:space="preserve"> </w:t>
      </w:r>
    </w:p>
    <w:p w14:paraId="19315760" w14:textId="11C30938" w:rsidR="00FD444D" w:rsidRPr="008562C8" w:rsidRDefault="00FD444D" w:rsidP="008562C8">
      <w:pPr>
        <w:pStyle w:val="Luettelokappale"/>
        <w:jc w:val="both"/>
        <w:rPr>
          <w:lang w:val="fi-FI"/>
        </w:rPr>
      </w:pPr>
      <w:r w:rsidRPr="00874AE1">
        <w:rPr>
          <w:lang w:val="fi-FI"/>
        </w:rPr>
        <w:t>Jos olet vuodepotilaana, pyri kuitenkin jaloittelemaan toistuvasti, v</w:t>
      </w:r>
      <w:r w:rsidRPr="00874AE1">
        <w:t xml:space="preserve">aihda asentoa, liikuta jalkoja, </w:t>
      </w:r>
      <w:r w:rsidRPr="00874AE1">
        <w:rPr>
          <w:lang w:val="fi-FI"/>
        </w:rPr>
        <w:t xml:space="preserve">ja </w:t>
      </w:r>
      <w:r w:rsidRPr="00874AE1">
        <w:t>vältä unilääkkeitä</w:t>
      </w:r>
      <w:r w:rsidR="008562C8">
        <w:rPr>
          <w:lang w:val="fi-FI"/>
        </w:rPr>
        <w:t>.</w:t>
      </w:r>
    </w:p>
    <w:p w14:paraId="14F1C489" w14:textId="0B0F246B" w:rsidR="00FD444D" w:rsidRPr="00874AE1" w:rsidRDefault="00FD444D" w:rsidP="008562C8">
      <w:pPr>
        <w:pStyle w:val="Luettelokappale"/>
        <w:numPr>
          <w:ilvl w:val="0"/>
          <w:numId w:val="43"/>
        </w:numPr>
        <w:jc w:val="both"/>
        <w:rPr>
          <w:lang w:val="fi-FI"/>
        </w:rPr>
      </w:pPr>
      <w:r w:rsidRPr="00874AE1">
        <w:t xml:space="preserve">Huolehdi siitä, </w:t>
      </w:r>
      <w:r w:rsidRPr="00874AE1">
        <w:rPr>
          <w:lang w:val="fi-FI"/>
        </w:rPr>
        <w:t>että otat sinulle määrätyt verenpaine-, diabetes- ja kolesterolilääkkeesi ohjeen mukaan. Seuraa verenpainettasi ja verensokeriarvoja, jos sinulla on kotona seurantamittarit</w:t>
      </w:r>
      <w:r w:rsidR="008562C8">
        <w:rPr>
          <w:lang w:val="fi-FI"/>
        </w:rPr>
        <w:t>.</w:t>
      </w:r>
    </w:p>
    <w:p w14:paraId="1A0D7A43" w14:textId="779ADFB8" w:rsidR="00FD444D" w:rsidRPr="00874AE1" w:rsidRDefault="00FD444D" w:rsidP="008562C8">
      <w:pPr>
        <w:pStyle w:val="Luettelokappale"/>
        <w:numPr>
          <w:ilvl w:val="0"/>
          <w:numId w:val="43"/>
        </w:numPr>
        <w:jc w:val="both"/>
      </w:pPr>
      <w:r w:rsidRPr="00874AE1">
        <w:t>Lopeta tupakointi</w:t>
      </w:r>
      <w:r w:rsidR="008562C8">
        <w:rPr>
          <w:lang w:val="fi-FI"/>
        </w:rPr>
        <w:t>.</w:t>
      </w:r>
    </w:p>
    <w:p w14:paraId="1218228D" w14:textId="3D56779B" w:rsidR="00FD444D" w:rsidRPr="00874AE1" w:rsidRDefault="00FD444D" w:rsidP="008562C8">
      <w:pPr>
        <w:pStyle w:val="Luettelokappale"/>
        <w:numPr>
          <w:ilvl w:val="0"/>
          <w:numId w:val="43"/>
        </w:numPr>
        <w:jc w:val="both"/>
      </w:pPr>
      <w:r w:rsidRPr="00874AE1">
        <w:t>Huolehdi hyvästä suu- ja hammashygieniasta</w:t>
      </w:r>
      <w:r w:rsidR="008562C8">
        <w:rPr>
          <w:lang w:val="fi-FI"/>
        </w:rPr>
        <w:t>.</w:t>
      </w:r>
    </w:p>
    <w:p w14:paraId="42F23644" w14:textId="3548FE22" w:rsidR="00FD444D" w:rsidRPr="00874AE1" w:rsidRDefault="00FD444D" w:rsidP="008562C8">
      <w:pPr>
        <w:pStyle w:val="Luettelokappale"/>
        <w:numPr>
          <w:ilvl w:val="0"/>
          <w:numId w:val="43"/>
        </w:numPr>
        <w:jc w:val="both"/>
      </w:pPr>
      <w:r w:rsidRPr="00874AE1">
        <w:t>Kerro tukosalttiudestasi hoitohenkilökunnalle joutuessasi sairaanhoitoo</w:t>
      </w:r>
      <w:r w:rsidRPr="008562C8">
        <w:rPr>
          <w:lang w:val="fi-FI"/>
        </w:rPr>
        <w:t>n</w:t>
      </w:r>
      <w:r w:rsidR="008562C8" w:rsidRPr="008562C8">
        <w:rPr>
          <w:lang w:val="fi-FI"/>
        </w:rPr>
        <w:t>.</w:t>
      </w:r>
    </w:p>
    <w:p w14:paraId="6118ADA3" w14:textId="77777777" w:rsidR="00E3589D" w:rsidRPr="0041276C" w:rsidRDefault="00E3589D" w:rsidP="008562C8">
      <w:pPr>
        <w:jc w:val="both"/>
      </w:pPr>
    </w:p>
    <w:sectPr w:rsidR="00E3589D" w:rsidRPr="0041276C" w:rsidSect="004243A0">
      <w:headerReference w:type="default" r:id="rId13"/>
      <w:headerReference w:type="first" r:id="rId14"/>
      <w:pgSz w:w="11907" w:h="16840" w:code="9"/>
      <w:pgMar w:top="2835" w:right="1134" w:bottom="1701" w:left="1134" w:header="1134" w:footer="113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5991CE" w16cid:durableId="22640AD3"/>
  <w16cid:commentId w16cid:paraId="38A994CB" w16cid:durableId="22640AD7"/>
  <w16cid:commentId w16cid:paraId="2BC4A2BA" w16cid:durableId="22640A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57F7B" w14:textId="77777777" w:rsidR="008C173B" w:rsidRDefault="008C173B" w:rsidP="00EE1E8E">
      <w:r>
        <w:separator/>
      </w:r>
    </w:p>
  </w:endnote>
  <w:endnote w:type="continuationSeparator" w:id="0">
    <w:p w14:paraId="129E7DE9" w14:textId="77777777" w:rsidR="008C173B" w:rsidRDefault="008C173B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9CAFB" w14:textId="77777777" w:rsidR="008C173B" w:rsidRDefault="008C173B" w:rsidP="00EE1E8E">
      <w:r>
        <w:separator/>
      </w:r>
    </w:p>
  </w:footnote>
  <w:footnote w:type="continuationSeparator" w:id="0">
    <w:p w14:paraId="4259BFB8" w14:textId="77777777" w:rsidR="008C173B" w:rsidRDefault="008C173B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4F29" w14:textId="01001B3B" w:rsidR="00856771" w:rsidRDefault="00DD07E2" w:rsidP="00856771">
    <w:pPr>
      <w:pStyle w:val="Yltunniste"/>
    </w:pPr>
    <w:r w:rsidRPr="00E3589D">
      <w:tab/>
    </w:r>
    <w:r w:rsidR="009169DE" w:rsidRPr="00E3589D">
      <w:tab/>
    </w:r>
    <w:r w:rsidR="00856771" w:rsidRPr="00DD07E2">
      <w:fldChar w:fldCharType="begin"/>
    </w:r>
    <w:r w:rsidR="00856771" w:rsidRPr="00DD07E2">
      <w:instrText xml:space="preserve"> PAGE   \* MERGEFORMAT </w:instrText>
    </w:r>
    <w:r w:rsidR="00856771" w:rsidRPr="00DD07E2">
      <w:fldChar w:fldCharType="separate"/>
    </w:r>
    <w:r w:rsidR="00C20B13">
      <w:rPr>
        <w:noProof/>
      </w:rPr>
      <w:t>1</w:t>
    </w:r>
    <w:r w:rsidR="00856771" w:rsidRPr="00DD07E2">
      <w:fldChar w:fldCharType="end"/>
    </w:r>
    <w:r w:rsidR="00856771">
      <w:t xml:space="preserve"> (</w:t>
    </w:r>
    <w:r w:rsidR="00C20B13">
      <w:fldChar w:fldCharType="begin"/>
    </w:r>
    <w:r w:rsidR="00C20B13">
      <w:instrText xml:space="preserve"> NUMPAGES   \* MERGEFORMAT </w:instrText>
    </w:r>
    <w:r w:rsidR="00C20B13">
      <w:fldChar w:fldCharType="separate"/>
    </w:r>
    <w:r w:rsidR="00C20B13">
      <w:rPr>
        <w:noProof/>
      </w:rPr>
      <w:t>3</w:t>
    </w:r>
    <w:r w:rsidR="00C20B13">
      <w:rPr>
        <w:noProof/>
      </w:rPr>
      <w:fldChar w:fldCharType="end"/>
    </w:r>
    <w:r w:rsidR="00856771">
      <w:t>)</w:t>
    </w:r>
    <w:r w:rsidR="00080F01" w:rsidRPr="00080F01">
      <w:rPr>
        <w:rFonts w:asciiTheme="minorHAnsi" w:hAnsiTheme="minorHAnsi"/>
        <w:noProof/>
        <w:color w:val="000000" w:themeColor="text1"/>
        <w:lang w:eastAsia="fi-FI"/>
      </w:rPr>
      <w:t xml:space="preserve"> </w:t>
    </w:r>
    <w:r w:rsidR="00080F01" w:rsidRPr="00080F01"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BE277A0" wp14:editId="1A141D94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80800" cy="540000"/>
              <wp:effectExtent l="0" t="0" r="63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80800" cy="540000"/>
                        <a:chOff x="0" y="0"/>
                        <a:chExt cx="1489075" cy="681037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675EA94" id="Group 8" o:spid="_x0000_s1026" style="position:absolute;margin-left:56.7pt;margin-top:43.1pt;width:93pt;height:42.5pt;z-index:251659264;mso-position-horizontal-relative:page;mso-position-vertical-relative:page;mso-width-relative:margin;mso-height-relative:margin" coordsize="14890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">
              <o:lock v:ext="edit" aspectratio="t"/>
              <v:shape id="Freeform 2" o:spid="_x0000_s1027" style="position:absolute;top:2079;width:11525;height:4731;visibility:visible;mso-wrap-style:square;v-text-anchor:top" coordsize="217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fillcolor="#004b87 [3205]" stroked="f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382;width:3508;height:2603;visibility:visible;mso-wrap-style:square;v-text-anchor:top" coordsize="6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fillcolor="#00adb1 [3204]" stroked="f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1CE4A0CD" w14:textId="77777777" w:rsidR="00E3589D" w:rsidRPr="00DD07E2" w:rsidRDefault="00856771" w:rsidP="00AA33F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6A31" w14:textId="77777777" w:rsidR="009E6F38" w:rsidRDefault="009E6F38">
    <w:pPr>
      <w:pStyle w:val="Yltunniste"/>
    </w:pPr>
  </w:p>
  <w:p w14:paraId="7614C672" w14:textId="77777777" w:rsidR="009E6F38" w:rsidRDefault="009E6F38">
    <w:pPr>
      <w:pStyle w:val="Yltunniste"/>
    </w:pPr>
  </w:p>
  <w:p w14:paraId="160DEBCB" w14:textId="77777777" w:rsidR="009E6F38" w:rsidRDefault="009E6F38">
    <w:pPr>
      <w:pStyle w:val="Yltunniste"/>
    </w:pPr>
  </w:p>
  <w:p w14:paraId="2F1B7F46" w14:textId="77777777" w:rsidR="009E6F38" w:rsidRDefault="009E6F38">
    <w:pPr>
      <w:pStyle w:val="Yltunniste"/>
    </w:pPr>
  </w:p>
  <w:p w14:paraId="4CEE6091" w14:textId="77777777" w:rsidR="009E6F38" w:rsidRDefault="009E6F38">
    <w:pPr>
      <w:pStyle w:val="Yltunniste"/>
    </w:pPr>
  </w:p>
  <w:p w14:paraId="6FFB8718" w14:textId="77777777" w:rsidR="009E6F38" w:rsidRDefault="009E6F38">
    <w:pPr>
      <w:pStyle w:val="Yltunniste"/>
    </w:pPr>
  </w:p>
  <w:p w14:paraId="1F7A9D8E" w14:textId="77777777" w:rsidR="009E6F38" w:rsidRDefault="009E6F38">
    <w:pPr>
      <w:pStyle w:val="Yltunniste"/>
    </w:pPr>
  </w:p>
  <w:p w14:paraId="3DFB118D" w14:textId="77777777" w:rsidR="009E6F38" w:rsidRDefault="009E6F38">
    <w:pPr>
      <w:pStyle w:val="Yltunniste"/>
    </w:pPr>
  </w:p>
  <w:p w14:paraId="63DD1434" w14:textId="77777777" w:rsidR="009E6F38" w:rsidRDefault="009E6F38">
    <w:pPr>
      <w:pStyle w:val="Yltunniste"/>
    </w:pPr>
  </w:p>
  <w:p w14:paraId="335D01C2" w14:textId="77777777" w:rsidR="009E6F38" w:rsidRDefault="009E6F38">
    <w:pPr>
      <w:pStyle w:val="Yltunniste"/>
    </w:pPr>
  </w:p>
  <w:p w14:paraId="1219346A" w14:textId="77777777" w:rsidR="009E6F38" w:rsidRDefault="009E6F38">
    <w:pPr>
      <w:pStyle w:val="Yltunniste"/>
    </w:pPr>
  </w:p>
  <w:p w14:paraId="6BFC7E2D" w14:textId="77777777" w:rsidR="009E6F38" w:rsidRDefault="009E6F38">
    <w:pPr>
      <w:pStyle w:val="Yltunniste"/>
    </w:pPr>
  </w:p>
  <w:p w14:paraId="508182FA" w14:textId="77777777" w:rsidR="009E6F38" w:rsidRDefault="009E6F38">
    <w:pPr>
      <w:pStyle w:val="Yltunniste"/>
    </w:pPr>
  </w:p>
  <w:p w14:paraId="138A89C3" w14:textId="77777777" w:rsidR="009E6F38" w:rsidRDefault="009E6F38">
    <w:pPr>
      <w:pStyle w:val="Yltunniste"/>
    </w:pPr>
  </w:p>
  <w:p w14:paraId="44D3C89E" w14:textId="77777777" w:rsidR="009E6F38" w:rsidRDefault="009E6F38">
    <w:pPr>
      <w:pStyle w:val="Yltunniste"/>
    </w:pPr>
  </w:p>
  <w:p w14:paraId="0BC439E1" w14:textId="77777777" w:rsidR="009E6F38" w:rsidRDefault="009E6F38">
    <w:pPr>
      <w:pStyle w:val="Yltunniste"/>
    </w:pPr>
  </w:p>
  <w:p w14:paraId="01ED3679" w14:textId="77777777" w:rsidR="009E6F38" w:rsidRDefault="009E6F38">
    <w:pPr>
      <w:pStyle w:val="Yltunniste"/>
    </w:pPr>
  </w:p>
  <w:p w14:paraId="044F693F" w14:textId="77777777" w:rsidR="009E6F38" w:rsidRDefault="009E6F38">
    <w:pPr>
      <w:pStyle w:val="Yltunniste"/>
    </w:pPr>
  </w:p>
  <w:p w14:paraId="75854C95" w14:textId="77777777" w:rsidR="009E6F38" w:rsidRDefault="009E6F38">
    <w:pPr>
      <w:pStyle w:val="Yltunniste"/>
    </w:pPr>
  </w:p>
  <w:p w14:paraId="15D7F7E4" w14:textId="77777777" w:rsidR="009E6F38" w:rsidRDefault="009E6F38">
    <w:pPr>
      <w:pStyle w:val="Yltunniste"/>
    </w:pPr>
  </w:p>
  <w:p w14:paraId="194DB5A1" w14:textId="77777777" w:rsidR="009E6F38" w:rsidRDefault="009E6F38">
    <w:pPr>
      <w:pStyle w:val="Yltunniste"/>
    </w:pPr>
  </w:p>
  <w:p w14:paraId="553DA61F" w14:textId="77777777" w:rsidR="00EA5709" w:rsidRDefault="00EA5709">
    <w:pPr>
      <w:pStyle w:val="Yltunniste"/>
    </w:pPr>
  </w:p>
  <w:p w14:paraId="391ADBCA" w14:textId="77777777" w:rsidR="00EA5709" w:rsidRDefault="00EA5709">
    <w:pPr>
      <w:pStyle w:val="Yltunniste"/>
    </w:pPr>
  </w:p>
  <w:p w14:paraId="566E96C5" w14:textId="77777777" w:rsidR="00EA5709" w:rsidRDefault="00EA5709">
    <w:pPr>
      <w:pStyle w:val="Yltunniste"/>
    </w:pPr>
  </w:p>
  <w:p w14:paraId="6B9ADADB" w14:textId="77777777" w:rsidR="00EA5709" w:rsidRDefault="00EA5709">
    <w:pPr>
      <w:pStyle w:val="Yltunniste"/>
    </w:pPr>
  </w:p>
  <w:p w14:paraId="2ECAF4DA" w14:textId="77777777" w:rsidR="00EA5709" w:rsidRDefault="00EA5709">
    <w:pPr>
      <w:pStyle w:val="Yltunniste"/>
    </w:pPr>
  </w:p>
  <w:p w14:paraId="3B201B40" w14:textId="77777777" w:rsidR="00EA5709" w:rsidRDefault="00EA5709">
    <w:pPr>
      <w:pStyle w:val="Yltunniste"/>
    </w:pPr>
  </w:p>
  <w:p w14:paraId="59C227BC" w14:textId="77777777" w:rsidR="00EA5709" w:rsidRDefault="00EA5709">
    <w:pPr>
      <w:pStyle w:val="Yltunniste"/>
    </w:pPr>
  </w:p>
  <w:p w14:paraId="087B4E10" w14:textId="77777777" w:rsidR="009E6F38" w:rsidRDefault="009E6F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86529C5"/>
    <w:multiLevelType w:val="hybridMultilevel"/>
    <w:tmpl w:val="EC0897F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71E00D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auto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0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70A4B48"/>
    <w:multiLevelType w:val="hybridMultilevel"/>
    <w:tmpl w:val="A5DC50E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551645"/>
    <w:multiLevelType w:val="hybridMultilevel"/>
    <w:tmpl w:val="B894785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8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9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1" w15:restartNumberingAfterBreak="0">
    <w:nsid w:val="657F0300"/>
    <w:multiLevelType w:val="hybridMultilevel"/>
    <w:tmpl w:val="95D0EF5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4"/>
  </w:num>
  <w:num w:numId="15">
    <w:abstractNumId w:val="29"/>
  </w:num>
  <w:num w:numId="16">
    <w:abstractNumId w:val="18"/>
  </w:num>
  <w:num w:numId="17">
    <w:abstractNumId w:val="13"/>
  </w:num>
  <w:num w:numId="18">
    <w:abstractNumId w:val="35"/>
  </w:num>
  <w:num w:numId="19">
    <w:abstractNumId w:val="33"/>
  </w:num>
  <w:num w:numId="20">
    <w:abstractNumId w:val="16"/>
  </w:num>
  <w:num w:numId="21">
    <w:abstractNumId w:val="15"/>
  </w:num>
  <w:num w:numId="22">
    <w:abstractNumId w:val="3"/>
    <w:lvlOverride w:ilvl="0">
      <w:startOverride w:val="1"/>
    </w:lvlOverride>
  </w:num>
  <w:num w:numId="23">
    <w:abstractNumId w:val="36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7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</w:num>
  <w:num w:numId="33">
    <w:abstractNumId w:val="3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8"/>
  </w:num>
  <w:num w:numId="37">
    <w:abstractNumId w:val="30"/>
  </w:num>
  <w:num w:numId="38">
    <w:abstractNumId w:val="27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1"/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4D"/>
    <w:rsid w:val="00011789"/>
    <w:rsid w:val="00016252"/>
    <w:rsid w:val="00017A48"/>
    <w:rsid w:val="00076FF2"/>
    <w:rsid w:val="00080F01"/>
    <w:rsid w:val="00095181"/>
    <w:rsid w:val="000A66B7"/>
    <w:rsid w:val="000A745A"/>
    <w:rsid w:val="000B4A9D"/>
    <w:rsid w:val="000C649B"/>
    <w:rsid w:val="000F0DA3"/>
    <w:rsid w:val="001034F5"/>
    <w:rsid w:val="00106220"/>
    <w:rsid w:val="0011284C"/>
    <w:rsid w:val="00113443"/>
    <w:rsid w:val="00122AED"/>
    <w:rsid w:val="001237B6"/>
    <w:rsid w:val="00126081"/>
    <w:rsid w:val="00132C29"/>
    <w:rsid w:val="0015212C"/>
    <w:rsid w:val="001550EB"/>
    <w:rsid w:val="001566FB"/>
    <w:rsid w:val="001667B6"/>
    <w:rsid w:val="00167263"/>
    <w:rsid w:val="00177F83"/>
    <w:rsid w:val="001928DB"/>
    <w:rsid w:val="001A3121"/>
    <w:rsid w:val="001A6124"/>
    <w:rsid w:val="001E5E2E"/>
    <w:rsid w:val="00254CF4"/>
    <w:rsid w:val="002567E9"/>
    <w:rsid w:val="0027703B"/>
    <w:rsid w:val="002A32B5"/>
    <w:rsid w:val="002A5463"/>
    <w:rsid w:val="002B0DEB"/>
    <w:rsid w:val="002C65FB"/>
    <w:rsid w:val="002E36E5"/>
    <w:rsid w:val="00301810"/>
    <w:rsid w:val="00326B95"/>
    <w:rsid w:val="00340474"/>
    <w:rsid w:val="00340DA7"/>
    <w:rsid w:val="00361611"/>
    <w:rsid w:val="00382269"/>
    <w:rsid w:val="0039159C"/>
    <w:rsid w:val="0039329E"/>
    <w:rsid w:val="003934DE"/>
    <w:rsid w:val="003A1A49"/>
    <w:rsid w:val="003B0467"/>
    <w:rsid w:val="003D7190"/>
    <w:rsid w:val="003E05ED"/>
    <w:rsid w:val="003E488D"/>
    <w:rsid w:val="003E6A9F"/>
    <w:rsid w:val="003F6754"/>
    <w:rsid w:val="003F7A98"/>
    <w:rsid w:val="004020EC"/>
    <w:rsid w:val="0041276C"/>
    <w:rsid w:val="004127BA"/>
    <w:rsid w:val="004243A0"/>
    <w:rsid w:val="00427025"/>
    <w:rsid w:val="00430C97"/>
    <w:rsid w:val="00440DEE"/>
    <w:rsid w:val="00444CBF"/>
    <w:rsid w:val="00462895"/>
    <w:rsid w:val="004668D8"/>
    <w:rsid w:val="00471060"/>
    <w:rsid w:val="004822BE"/>
    <w:rsid w:val="0048435C"/>
    <w:rsid w:val="0048674E"/>
    <w:rsid w:val="00492C3E"/>
    <w:rsid w:val="004A086D"/>
    <w:rsid w:val="004A542F"/>
    <w:rsid w:val="004B4652"/>
    <w:rsid w:val="004B4F93"/>
    <w:rsid w:val="004C2514"/>
    <w:rsid w:val="004C42E7"/>
    <w:rsid w:val="004C5C2E"/>
    <w:rsid w:val="004D4440"/>
    <w:rsid w:val="004D4AE4"/>
    <w:rsid w:val="00511BB7"/>
    <w:rsid w:val="00515D79"/>
    <w:rsid w:val="00525359"/>
    <w:rsid w:val="00527A8C"/>
    <w:rsid w:val="00557AE0"/>
    <w:rsid w:val="00564FEF"/>
    <w:rsid w:val="00572884"/>
    <w:rsid w:val="00590D49"/>
    <w:rsid w:val="005955D9"/>
    <w:rsid w:val="00596585"/>
    <w:rsid w:val="005A4450"/>
    <w:rsid w:val="005B655F"/>
    <w:rsid w:val="005E3A70"/>
    <w:rsid w:val="005E7A1C"/>
    <w:rsid w:val="005F1CAB"/>
    <w:rsid w:val="005F2DD3"/>
    <w:rsid w:val="00601643"/>
    <w:rsid w:val="006039AA"/>
    <w:rsid w:val="006051EC"/>
    <w:rsid w:val="00614F34"/>
    <w:rsid w:val="006159EF"/>
    <w:rsid w:val="0063583A"/>
    <w:rsid w:val="00637FCB"/>
    <w:rsid w:val="0064279F"/>
    <w:rsid w:val="00644AD0"/>
    <w:rsid w:val="00654F57"/>
    <w:rsid w:val="0066268E"/>
    <w:rsid w:val="006848E6"/>
    <w:rsid w:val="00687400"/>
    <w:rsid w:val="00694ECE"/>
    <w:rsid w:val="006A2640"/>
    <w:rsid w:val="006A77A6"/>
    <w:rsid w:val="006C065B"/>
    <w:rsid w:val="006D1C4A"/>
    <w:rsid w:val="006D45DF"/>
    <w:rsid w:val="006E0B4A"/>
    <w:rsid w:val="006E427F"/>
    <w:rsid w:val="006F3950"/>
    <w:rsid w:val="00702A8B"/>
    <w:rsid w:val="00716A4D"/>
    <w:rsid w:val="00744288"/>
    <w:rsid w:val="00761553"/>
    <w:rsid w:val="0076349C"/>
    <w:rsid w:val="00767081"/>
    <w:rsid w:val="00773E20"/>
    <w:rsid w:val="00784D6F"/>
    <w:rsid w:val="0078509E"/>
    <w:rsid w:val="007B3193"/>
    <w:rsid w:val="007C0B28"/>
    <w:rsid w:val="007C48D2"/>
    <w:rsid w:val="007C62BD"/>
    <w:rsid w:val="007C6FB7"/>
    <w:rsid w:val="007D5B13"/>
    <w:rsid w:val="007E26B3"/>
    <w:rsid w:val="00801349"/>
    <w:rsid w:val="00832242"/>
    <w:rsid w:val="00843CB0"/>
    <w:rsid w:val="008458E1"/>
    <w:rsid w:val="00853AA2"/>
    <w:rsid w:val="008562C8"/>
    <w:rsid w:val="00856771"/>
    <w:rsid w:val="008831B3"/>
    <w:rsid w:val="008868CD"/>
    <w:rsid w:val="00893C9A"/>
    <w:rsid w:val="008A4653"/>
    <w:rsid w:val="008C173B"/>
    <w:rsid w:val="008C4D67"/>
    <w:rsid w:val="008C5CF1"/>
    <w:rsid w:val="008C698D"/>
    <w:rsid w:val="008D5E29"/>
    <w:rsid w:val="008D6DD8"/>
    <w:rsid w:val="00916403"/>
    <w:rsid w:val="009169DE"/>
    <w:rsid w:val="009242B7"/>
    <w:rsid w:val="009248C4"/>
    <w:rsid w:val="00930B05"/>
    <w:rsid w:val="009446DB"/>
    <w:rsid w:val="009B221A"/>
    <w:rsid w:val="009B2E6E"/>
    <w:rsid w:val="009C3F5F"/>
    <w:rsid w:val="009C67C5"/>
    <w:rsid w:val="009E2F24"/>
    <w:rsid w:val="009E6F38"/>
    <w:rsid w:val="00A02BC8"/>
    <w:rsid w:val="00A05B73"/>
    <w:rsid w:val="00A131E4"/>
    <w:rsid w:val="00A25B85"/>
    <w:rsid w:val="00A73CE9"/>
    <w:rsid w:val="00A74E77"/>
    <w:rsid w:val="00A77577"/>
    <w:rsid w:val="00A82845"/>
    <w:rsid w:val="00AA33FB"/>
    <w:rsid w:val="00AB5D71"/>
    <w:rsid w:val="00AC2419"/>
    <w:rsid w:val="00AC24E1"/>
    <w:rsid w:val="00AC3C8E"/>
    <w:rsid w:val="00AC76C8"/>
    <w:rsid w:val="00AE2556"/>
    <w:rsid w:val="00AE28CB"/>
    <w:rsid w:val="00B261B2"/>
    <w:rsid w:val="00B355B3"/>
    <w:rsid w:val="00B35E4D"/>
    <w:rsid w:val="00B81594"/>
    <w:rsid w:val="00B83855"/>
    <w:rsid w:val="00B91C53"/>
    <w:rsid w:val="00BC0923"/>
    <w:rsid w:val="00BD1E0C"/>
    <w:rsid w:val="00BE02FD"/>
    <w:rsid w:val="00BF3A23"/>
    <w:rsid w:val="00C1575D"/>
    <w:rsid w:val="00C20B13"/>
    <w:rsid w:val="00C238DF"/>
    <w:rsid w:val="00C25E93"/>
    <w:rsid w:val="00C3660D"/>
    <w:rsid w:val="00C37977"/>
    <w:rsid w:val="00C41AF0"/>
    <w:rsid w:val="00C43923"/>
    <w:rsid w:val="00C52AE6"/>
    <w:rsid w:val="00C942DD"/>
    <w:rsid w:val="00CF141B"/>
    <w:rsid w:val="00D14E85"/>
    <w:rsid w:val="00D26193"/>
    <w:rsid w:val="00D2788B"/>
    <w:rsid w:val="00D42CBD"/>
    <w:rsid w:val="00D442A8"/>
    <w:rsid w:val="00D47EB8"/>
    <w:rsid w:val="00D714B6"/>
    <w:rsid w:val="00D71C09"/>
    <w:rsid w:val="00D864B3"/>
    <w:rsid w:val="00D91D35"/>
    <w:rsid w:val="00DA4826"/>
    <w:rsid w:val="00DB2130"/>
    <w:rsid w:val="00DC3494"/>
    <w:rsid w:val="00DD07E2"/>
    <w:rsid w:val="00DD49F3"/>
    <w:rsid w:val="00DE3980"/>
    <w:rsid w:val="00DE7400"/>
    <w:rsid w:val="00DF1472"/>
    <w:rsid w:val="00DF1E7F"/>
    <w:rsid w:val="00DF223E"/>
    <w:rsid w:val="00DF4193"/>
    <w:rsid w:val="00E01752"/>
    <w:rsid w:val="00E25097"/>
    <w:rsid w:val="00E303D5"/>
    <w:rsid w:val="00E30562"/>
    <w:rsid w:val="00E33C90"/>
    <w:rsid w:val="00E3589D"/>
    <w:rsid w:val="00E40417"/>
    <w:rsid w:val="00E54461"/>
    <w:rsid w:val="00E72635"/>
    <w:rsid w:val="00E74468"/>
    <w:rsid w:val="00E75721"/>
    <w:rsid w:val="00E8621D"/>
    <w:rsid w:val="00EA5709"/>
    <w:rsid w:val="00EC1F96"/>
    <w:rsid w:val="00EC4DAC"/>
    <w:rsid w:val="00ED38FD"/>
    <w:rsid w:val="00ED52F5"/>
    <w:rsid w:val="00EE1E8E"/>
    <w:rsid w:val="00EF00E2"/>
    <w:rsid w:val="00EF30F9"/>
    <w:rsid w:val="00F26A4D"/>
    <w:rsid w:val="00F460E0"/>
    <w:rsid w:val="00F532C8"/>
    <w:rsid w:val="00F56B92"/>
    <w:rsid w:val="00F62F92"/>
    <w:rsid w:val="00F84C20"/>
    <w:rsid w:val="00FD444D"/>
    <w:rsid w:val="00FD5368"/>
    <w:rsid w:val="00FD608B"/>
    <w:rsid w:val="00FE2DCE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8C507D"/>
  <w15:docId w15:val="{8651E919-54A8-4E0C-83F2-A8D81E99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444D"/>
    <w:rPr>
      <w:lang w:val="x-none" w:bidi="ar-SA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6D45DF"/>
    <w:pPr>
      <w:keepNext/>
      <w:keepLines/>
      <w:numPr>
        <w:numId w:val="23"/>
      </w:numPr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color w:val="00ADB1" w:themeColor="accent1"/>
      <w:sz w:val="28"/>
      <w:szCs w:val="40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8D5E29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080F01"/>
    <w:pPr>
      <w:tabs>
        <w:tab w:val="left" w:pos="5216"/>
        <w:tab w:val="right" w:pos="9639"/>
      </w:tabs>
    </w:pPr>
    <w:rPr>
      <w:rFonts w:asciiTheme="majorHAnsi" w:hAnsiTheme="majorHAnsi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0F01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66268E"/>
    <w:pPr>
      <w:spacing w:line="160" w:lineRule="atLeast"/>
    </w:pPr>
    <w:rPr>
      <w:rFonts w:asciiTheme="majorHAnsi" w:hAnsiTheme="majorHAns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6268E"/>
    <w:rPr>
      <w:rFonts w:asciiTheme="majorHAnsi" w:hAnsiTheme="majorHAnsi"/>
      <w:color w:val="000000" w:themeColor="text1"/>
      <w:sz w:val="16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D45DF"/>
    <w:rPr>
      <w:rFonts w:asciiTheme="majorHAnsi" w:eastAsiaTheme="majorEastAsia" w:hAnsiTheme="majorHAnsi" w:cstheme="majorBidi"/>
      <w:b/>
      <w:color w:val="00ADB1" w:themeColor="accent1"/>
      <w:sz w:val="28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16403"/>
    <w:pPr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16403"/>
    <w:rPr>
      <w:color w:val="000000" w:themeColor="text1"/>
      <w:sz w:val="19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75721"/>
    <w:pPr>
      <w:numPr>
        <w:numId w:val="0"/>
      </w:numPr>
      <w:spacing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853AA2"/>
    <w:pPr>
      <w:numPr>
        <w:numId w:val="3"/>
      </w:numPr>
      <w:spacing w:after="240"/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853AA2"/>
    <w:pPr>
      <w:numPr>
        <w:numId w:val="4"/>
      </w:numPr>
      <w:spacing w:after="240"/>
      <w:ind w:left="1872" w:hanging="284"/>
    </w:pPr>
  </w:style>
  <w:style w:type="paragraph" w:styleId="Merkittyluettelo3">
    <w:name w:val="List Bullet 3"/>
    <w:basedOn w:val="Normaali"/>
    <w:uiPriority w:val="99"/>
    <w:unhideWhenUsed/>
    <w:rsid w:val="00853AA2"/>
    <w:pPr>
      <w:numPr>
        <w:numId w:val="5"/>
      </w:numPr>
      <w:spacing w:after="240"/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853AA2"/>
    <w:pPr>
      <w:numPr>
        <w:numId w:val="6"/>
      </w:numPr>
      <w:spacing w:after="240"/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853AA2"/>
    <w:pPr>
      <w:numPr>
        <w:numId w:val="7"/>
      </w:numPr>
      <w:spacing w:after="240"/>
      <w:ind w:left="2722" w:hanging="284"/>
    </w:pPr>
  </w:style>
  <w:style w:type="paragraph" w:styleId="Luettelo">
    <w:name w:val="List"/>
    <w:basedOn w:val="Normaali"/>
    <w:uiPriority w:val="99"/>
    <w:unhideWhenUsed/>
    <w:rsid w:val="00853AA2"/>
    <w:pPr>
      <w:spacing w:after="80"/>
      <w:ind w:left="1588" w:hanging="284"/>
    </w:pPr>
  </w:style>
  <w:style w:type="paragraph" w:styleId="Luettelo2">
    <w:name w:val="List 2"/>
    <w:basedOn w:val="Normaali"/>
    <w:uiPriority w:val="99"/>
    <w:unhideWhenUsed/>
    <w:rsid w:val="00853AA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853AA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853AA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853AA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853AA2"/>
    <w:pPr>
      <w:numPr>
        <w:numId w:val="8"/>
      </w:numPr>
      <w:spacing w:after="240"/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853AA2"/>
    <w:pPr>
      <w:numPr>
        <w:numId w:val="9"/>
      </w:numPr>
      <w:spacing w:after="240"/>
      <w:ind w:left="1872" w:hanging="284"/>
    </w:pPr>
  </w:style>
  <w:style w:type="paragraph" w:styleId="Numeroituluettelo3">
    <w:name w:val="List Number 3"/>
    <w:basedOn w:val="Normaali"/>
    <w:uiPriority w:val="99"/>
    <w:unhideWhenUsed/>
    <w:rsid w:val="00853AA2"/>
    <w:pPr>
      <w:numPr>
        <w:numId w:val="10"/>
      </w:numPr>
      <w:spacing w:after="240"/>
      <w:ind w:left="2155" w:hanging="284"/>
    </w:pPr>
  </w:style>
  <w:style w:type="paragraph" w:styleId="Numeroituluettelo4">
    <w:name w:val="List Number 4"/>
    <w:basedOn w:val="Normaali"/>
    <w:uiPriority w:val="99"/>
    <w:unhideWhenUsed/>
    <w:rsid w:val="00853AA2"/>
    <w:pPr>
      <w:numPr>
        <w:numId w:val="11"/>
      </w:numPr>
      <w:spacing w:after="240"/>
      <w:ind w:left="2439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853AA2"/>
    <w:pPr>
      <w:numPr>
        <w:numId w:val="12"/>
      </w:numPr>
      <w:spacing w:after="240"/>
      <w:ind w:left="2722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9C67C5"/>
    <w:pPr>
      <w:ind w:left="720"/>
      <w:contextualSpacing/>
    </w:pPr>
  </w:style>
  <w:style w:type="paragraph" w:customStyle="1" w:styleId="blanko">
    <w:name w:val="blanko"/>
    <w:basedOn w:val="Alatunniste"/>
    <w:uiPriority w:val="99"/>
    <w:semiHidden/>
    <w:qFormat/>
    <w:rsid w:val="00916403"/>
    <w:pPr>
      <w:spacing w:line="240" w:lineRule="auto"/>
    </w:pPr>
    <w:rPr>
      <w:sz w:val="2"/>
    </w:r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eastAsiaTheme="majorEastAsia" w:hAnsiTheme="majorHAnsi" w:cstheme="majorBidi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8D5E29"/>
    <w:rPr>
      <w:rFonts w:asciiTheme="majorHAnsi" w:eastAsiaTheme="majorEastAsia" w:hAnsiTheme="majorHAnsi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E75721"/>
    <w:pPr>
      <w:spacing w:after="24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75721"/>
    <w:rPr>
      <w:color w:val="000000" w:themeColor="text1"/>
      <w:sz w:val="19"/>
      <w:szCs w:val="28"/>
      <w:lang w:val="fi-FI"/>
    </w:rPr>
  </w:style>
  <w:style w:type="paragraph" w:customStyle="1" w:styleId="Otsikko1numeroimaton">
    <w:name w:val="Otsikko 1 (numeroimaton)"/>
    <w:basedOn w:val="Otsikko1"/>
    <w:next w:val="Sisennettyleipteksti"/>
    <w:qFormat/>
    <w:rsid w:val="00515D79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Sisennetty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Sisennetty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Sisennettyleipteksti"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E75721"/>
  </w:style>
  <w:style w:type="paragraph" w:styleId="Vakiosisennys">
    <w:name w:val="Normal Indent"/>
    <w:basedOn w:val="Normaali"/>
    <w:qFormat/>
    <w:rsid w:val="00916403"/>
    <w:pPr>
      <w:ind w:left="1304"/>
    </w:pPr>
  </w:style>
  <w:style w:type="paragraph" w:styleId="Alaotsikko">
    <w:name w:val="Subtitle"/>
    <w:basedOn w:val="Normaali"/>
    <w:next w:val="Normaali"/>
    <w:link w:val="AlaotsikkoChar"/>
    <w:uiPriority w:val="99"/>
    <w:rsid w:val="00C1575D"/>
    <w:pPr>
      <w:numPr>
        <w:ilvl w:val="1"/>
      </w:numPr>
    </w:pPr>
    <w:rPr>
      <w:rFonts w:asciiTheme="majorHAnsi" w:eastAsiaTheme="minorEastAsia" w:hAnsiTheme="majorHAnsi"/>
      <w:color w:val="00ADB1" w:themeColor="accent1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C1575D"/>
    <w:rPr>
      <w:rFonts w:asciiTheme="majorHAnsi" w:eastAsiaTheme="minorEastAsia" w:hAnsiTheme="majorHAnsi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080F01"/>
  </w:style>
  <w:style w:type="paragraph" w:customStyle="1" w:styleId="Viitetiedot">
    <w:name w:val="Viitetiedot"/>
    <w:basedOn w:val="Normaali"/>
    <w:uiPriority w:val="99"/>
    <w:qFormat/>
    <w:rsid w:val="00C3660D"/>
    <w:pPr>
      <w:spacing w:after="240" w:line="290" w:lineRule="atLeast"/>
    </w:pPr>
    <w:rPr>
      <w:i/>
      <w:sz w:val="16"/>
    </w:rPr>
  </w:style>
  <w:style w:type="paragraph" w:styleId="NormaaliWWW">
    <w:name w:val="Normal (Web)"/>
    <w:basedOn w:val="Normaali"/>
    <w:uiPriority w:val="99"/>
    <w:semiHidden/>
    <w:unhideWhenUsed/>
    <w:rsid w:val="00FD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s.fi/ammattilaiselle/hoito-ohjeet/Documents/COVID-19%20ja%20veren%20hyytymisen%20aiheuttamat%20komplikaatiot.docx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ssote.sharepoint.com/sites/12239/Muut%20palvelut/L%C3%A4%C3%A4kkeiden%20luovuttaminen%20sairaalasta%20kotiutettavalle%20COVID-19-%20potilaalle.pdf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ssote.sharepoint.com/:w:/r/sites/10024/_layouts/15/Doc.aspx?sourcedoc=%7BE553D82E-60C5-4D3F-8DB7-5BB9335FA0E7%7D&amp;file=22%2004%2020%20Trombiprofylaksia-raskaana-oleville-covid19-220420-3.docx&amp;action=default&amp;mobileredirect=true&amp;cid=7e488946-17b5-41a9-9e3d-530cd031250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us.fi/sairaanhoito/sairaalat/meilahden-kolmiosairaala/poliklinikat/Documents/Taipumus%20saada%20veritulppa.pd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hematology.fi/sites/default/files/uploads/suositus_sairaalapotilaan_tromboosiprofylaksista_1-2019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3498866585D24F9C9885E5478C8992" ma:contentTypeVersion="1" ma:contentTypeDescription="Luo uusi asiakirja." ma:contentTypeScope="" ma:versionID="a7ba8c79bed77e5156a3b25163d925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24B16A-9242-40A7-AA7F-188D8C4F539B}"/>
</file>

<file path=customXml/itemProps2.xml><?xml version="1.0" encoding="utf-8"?>
<ds:datastoreItem xmlns:ds="http://schemas.openxmlformats.org/officeDocument/2006/customXml" ds:itemID="{92765C84-FADB-4498-B5FB-5D74DC9B1D27}"/>
</file>

<file path=customXml/itemProps3.xml><?xml version="1.0" encoding="utf-8"?>
<ds:datastoreItem xmlns:ds="http://schemas.openxmlformats.org/officeDocument/2006/customXml" ds:itemID="{EDD5EA27-D065-441F-BFC2-A5D6752FA843}"/>
</file>

<file path=customXml/itemProps4.xml><?xml version="1.0" encoding="utf-8"?>
<ds:datastoreItem xmlns:ds="http://schemas.openxmlformats.org/officeDocument/2006/customXml" ds:itemID="{5E8729ED-81F9-4194-B96D-DF0403C92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Korpela Timo</dc:creator>
  <cp:lastModifiedBy>Korpela Timo</cp:lastModifiedBy>
  <cp:revision>2</cp:revision>
  <cp:lastPrinted>2020-05-07T21:50:00Z</cp:lastPrinted>
  <dcterms:created xsi:type="dcterms:W3CDTF">2020-05-15T05:34:00Z</dcterms:created>
  <dcterms:modified xsi:type="dcterms:W3CDTF">2020-05-15T05:34:00Z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719638559</vt:i4>
  </property>
  <property fmtid="{D5CDD505-2E9C-101B-9397-08002B2CF9AE}" pid="3" name="_NewReviewCycle">
    <vt:lpwstr/>
  </property>
  <property fmtid="{D5CDD505-2E9C-101B-9397-08002B2CF9AE}" pid="4" name="_EmailSubject">
    <vt:lpwstr>PÄIVITYSPYYNTÖ: Kotikuntoisten potilaiden trombiprofylaksia INTRAAN JA INTERNETIIN - TÄSSÄ VIIMEISIN VERSIO VIESTINTÄÄN</vt:lpwstr>
  </property>
  <property fmtid="{D5CDD505-2E9C-101B-9397-08002B2CF9AE}" pid="5" name="_AuthorEmail">
    <vt:lpwstr>Eeva.Ruotsalainen@hus.fi</vt:lpwstr>
  </property>
  <property fmtid="{D5CDD505-2E9C-101B-9397-08002B2CF9AE}" pid="6" name="_AuthorEmailDisplayName">
    <vt:lpwstr>Ruotsalainen Eeva</vt:lpwstr>
  </property>
  <property fmtid="{D5CDD505-2E9C-101B-9397-08002B2CF9AE}" pid="7" name="_PreviousAdHocReviewCycleID">
    <vt:i4>-1594492158</vt:i4>
  </property>
  <property fmtid="{D5CDD505-2E9C-101B-9397-08002B2CF9AE}" pid="8" name="_ReviewingToolsShownOnce">
    <vt:lpwstr/>
  </property>
  <property fmtid="{D5CDD505-2E9C-101B-9397-08002B2CF9AE}" pid="9" name="ContentTypeId">
    <vt:lpwstr>0x010100953498866585D24F9C9885E5478C8992</vt:lpwstr>
  </property>
</Properties>
</file>